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976D" w14:textId="62D76C8B" w:rsidR="00220B0E" w:rsidRDefault="00937052" w:rsidP="00937052">
      <w:pPr>
        <w:pStyle w:val="CorpsA"/>
        <w:spacing w:line="360" w:lineRule="auto"/>
        <w:jc w:val="center"/>
        <w:rPr>
          <w:rFonts w:ascii="Times New Roman" w:hAnsi="Times New Roman"/>
          <w:sz w:val="28"/>
          <w:szCs w:val="28"/>
        </w:rPr>
      </w:pPr>
      <w:r>
        <w:rPr>
          <w:rFonts w:ascii="Times New Roman" w:hAnsi="Times New Roman"/>
          <w:sz w:val="28"/>
          <w:szCs w:val="28"/>
        </w:rPr>
        <w:t>***</w:t>
      </w:r>
      <w:r w:rsidR="007B3C01">
        <w:rPr>
          <w:rFonts w:ascii="Times New Roman" w:hAnsi="Times New Roman"/>
          <w:sz w:val="28"/>
          <w:szCs w:val="28"/>
        </w:rPr>
        <w:t>Communication Vienne</w:t>
      </w:r>
      <w:r w:rsidR="00AF79FC">
        <w:rPr>
          <w:rFonts w:ascii="Times New Roman" w:hAnsi="Times New Roman"/>
          <w:sz w:val="28"/>
          <w:szCs w:val="28"/>
        </w:rPr>
        <w:t xml:space="preserve"> – </w:t>
      </w:r>
      <w:r>
        <w:rPr>
          <w:rFonts w:ascii="Times New Roman" w:hAnsi="Times New Roman"/>
          <w:sz w:val="28"/>
          <w:szCs w:val="28"/>
        </w:rPr>
        <w:t>version préliminaire non publiée***</w:t>
      </w:r>
    </w:p>
    <w:p w14:paraId="4791025D" w14:textId="27352564" w:rsidR="00AF79FC" w:rsidRDefault="00AF79FC">
      <w:pPr>
        <w:pStyle w:val="CorpsA"/>
        <w:spacing w:line="360" w:lineRule="auto"/>
        <w:jc w:val="both"/>
        <w:rPr>
          <w:rFonts w:ascii="Times New Roman" w:hAnsi="Times New Roman"/>
          <w:sz w:val="28"/>
          <w:szCs w:val="28"/>
        </w:rPr>
      </w:pPr>
    </w:p>
    <w:p w14:paraId="3CE82394" w14:textId="77777777" w:rsidR="00AF79FC" w:rsidRDefault="00AF79FC">
      <w:pPr>
        <w:pStyle w:val="CorpsA"/>
        <w:spacing w:line="360" w:lineRule="auto"/>
        <w:jc w:val="both"/>
        <w:rPr>
          <w:rFonts w:ascii="Times New Roman" w:eastAsia="Times New Roman" w:hAnsi="Times New Roman" w:cs="Times New Roman"/>
          <w:sz w:val="28"/>
          <w:szCs w:val="28"/>
        </w:rPr>
      </w:pPr>
    </w:p>
    <w:p w14:paraId="44907794" w14:textId="77777777" w:rsidR="00AF79FC" w:rsidRPr="00AF79FC" w:rsidRDefault="00AF79FC" w:rsidP="00AF79FC">
      <w:pPr>
        <w:pStyle w:val="CorpsA"/>
        <w:spacing w:line="276" w:lineRule="auto"/>
        <w:jc w:val="center"/>
        <w:rPr>
          <w:rFonts w:ascii="Times New Roman" w:eastAsia="Times New Roman" w:hAnsi="Times New Roman" w:cs="Times New Roman"/>
          <w:b/>
          <w:sz w:val="28"/>
          <w:szCs w:val="28"/>
          <w:lang w:val="fr-CA"/>
        </w:rPr>
      </w:pPr>
      <w:r w:rsidRPr="00AF79FC">
        <w:rPr>
          <w:rFonts w:ascii="Times New Roman" w:eastAsia="Times New Roman" w:hAnsi="Times New Roman" w:cs="Times New Roman"/>
          <w:b/>
          <w:sz w:val="28"/>
          <w:szCs w:val="28"/>
          <w:lang w:val="fr-CA"/>
        </w:rPr>
        <w:t>Le débat théorique dans les études de cas</w:t>
      </w:r>
    </w:p>
    <w:p w14:paraId="0A73E4AD" w14:textId="4016C500" w:rsidR="00220B0E" w:rsidRDefault="00AF79FC" w:rsidP="00AF79FC">
      <w:pPr>
        <w:pStyle w:val="CorpsA"/>
        <w:spacing w:line="276" w:lineRule="auto"/>
        <w:jc w:val="center"/>
        <w:rPr>
          <w:rFonts w:asciiTheme="majorHAnsi" w:eastAsia="Times New Roman" w:hAnsiTheme="majorHAnsi" w:cs="Times New Roman"/>
          <w:b/>
          <w:i/>
          <w:iCs/>
          <w:sz w:val="28"/>
          <w:szCs w:val="28"/>
          <w:lang w:val="fr-CA"/>
        </w:rPr>
      </w:pPr>
      <w:r w:rsidRPr="00AF79FC">
        <w:rPr>
          <w:rFonts w:ascii="Times New Roman" w:eastAsia="Times New Roman" w:hAnsi="Times New Roman" w:cs="Times New Roman"/>
          <w:b/>
          <w:sz w:val="28"/>
          <w:szCs w:val="28"/>
          <w:lang w:val="fr-CA"/>
        </w:rPr>
        <w:t xml:space="preserve">de la revue </w:t>
      </w:r>
      <w:r w:rsidRPr="00AF79FC">
        <w:rPr>
          <w:rFonts w:ascii="Times New Roman" w:eastAsia="Times New Roman" w:hAnsi="Times New Roman" w:cs="Times New Roman"/>
          <w:b/>
          <w:i/>
          <w:iCs/>
          <w:sz w:val="28"/>
          <w:szCs w:val="28"/>
          <w:lang w:val="fr-CA"/>
        </w:rPr>
        <w:t>Intermédialités</w:t>
      </w:r>
      <w:bookmarkStart w:id="0" w:name="_GoBack"/>
      <w:bookmarkEnd w:id="0"/>
    </w:p>
    <w:p w14:paraId="5115DF97" w14:textId="2DCF01F2" w:rsidR="00AF79FC" w:rsidRDefault="00AF79FC" w:rsidP="00AF79FC">
      <w:pPr>
        <w:pStyle w:val="CorpsA"/>
        <w:jc w:val="center"/>
        <w:rPr>
          <w:rFonts w:asciiTheme="majorHAnsi" w:eastAsia="Times New Roman" w:hAnsiTheme="majorHAnsi" w:cs="Times New Roman"/>
          <w:b/>
          <w:i/>
          <w:iCs/>
          <w:sz w:val="28"/>
          <w:szCs w:val="28"/>
          <w:lang w:val="fr-CA"/>
        </w:rPr>
      </w:pPr>
    </w:p>
    <w:p w14:paraId="1BCCC3B0" w14:textId="77777777" w:rsidR="00AF79FC" w:rsidRPr="00937052" w:rsidRDefault="00AF79FC" w:rsidP="00AF79FC">
      <w:pPr>
        <w:pStyle w:val="CorpsA"/>
        <w:jc w:val="center"/>
        <w:rPr>
          <w:rFonts w:asciiTheme="majorHAnsi" w:eastAsia="Times New Roman" w:hAnsiTheme="majorHAnsi" w:cs="Times New Roman"/>
          <w:b/>
          <w:iCs/>
          <w:lang w:val="en-CA"/>
        </w:rPr>
      </w:pPr>
    </w:p>
    <w:p w14:paraId="42CD0744" w14:textId="77777777" w:rsidR="00AF79FC" w:rsidRPr="00937052" w:rsidRDefault="00AF79FC" w:rsidP="00937052">
      <w:pPr>
        <w:pStyle w:val="NormalWeb"/>
        <w:spacing w:before="0" w:beforeAutospacing="0" w:after="0" w:afterAutospacing="0" w:line="276" w:lineRule="auto"/>
        <w:jc w:val="center"/>
        <w:rPr>
          <w:lang w:val="fr-CA"/>
        </w:rPr>
      </w:pPr>
      <w:r w:rsidRPr="00937052">
        <w:rPr>
          <w:rFonts w:eastAsiaTheme="majorEastAsia"/>
          <w:color w:val="000000"/>
          <w:lang w:val="fr-CA"/>
        </w:rPr>
        <w:t xml:space="preserve">Marion Froger, Professeure et Directrice, revue </w:t>
      </w:r>
      <w:r w:rsidRPr="00937052">
        <w:rPr>
          <w:rFonts w:eastAsiaTheme="majorEastAsia"/>
          <w:i/>
          <w:iCs/>
          <w:color w:val="000000"/>
          <w:lang w:val="fr-CA"/>
        </w:rPr>
        <w:t>Intermédialités</w:t>
      </w:r>
    </w:p>
    <w:p w14:paraId="4E9C9804" w14:textId="77777777" w:rsidR="00AF79FC" w:rsidRPr="00937052" w:rsidRDefault="00AF79FC" w:rsidP="00937052">
      <w:pPr>
        <w:pStyle w:val="NormalWeb"/>
        <w:spacing w:before="0" w:beforeAutospacing="0" w:after="0" w:afterAutospacing="0" w:line="276" w:lineRule="auto"/>
        <w:jc w:val="center"/>
        <w:rPr>
          <w:lang w:val="fr-CA"/>
        </w:rPr>
      </w:pPr>
      <w:r w:rsidRPr="00937052">
        <w:rPr>
          <w:rFonts w:eastAsiaTheme="majorEastAsia"/>
          <w:color w:val="000000"/>
          <w:lang w:val="fr-CA"/>
        </w:rPr>
        <w:t xml:space="preserve">Caroline Bem, Chercheure Postdoctorale, Coordinatrice web </w:t>
      </w:r>
      <w:r w:rsidRPr="00937052">
        <w:rPr>
          <w:rFonts w:eastAsiaTheme="majorEastAsia"/>
          <w:i/>
          <w:iCs/>
          <w:color w:val="000000"/>
          <w:lang w:val="fr-CA"/>
        </w:rPr>
        <w:t>Intermédialités</w:t>
      </w:r>
    </w:p>
    <w:p w14:paraId="6880A2E6" w14:textId="77777777" w:rsidR="00AF79FC" w:rsidRPr="00937052" w:rsidRDefault="00AF79FC" w:rsidP="00937052">
      <w:pPr>
        <w:pStyle w:val="NormalWeb"/>
        <w:spacing w:before="0" w:beforeAutospacing="0" w:after="0" w:afterAutospacing="0" w:line="276" w:lineRule="auto"/>
        <w:jc w:val="center"/>
        <w:rPr>
          <w:lang w:val="fr-CA"/>
        </w:rPr>
      </w:pPr>
      <w:r w:rsidRPr="00937052">
        <w:rPr>
          <w:rFonts w:eastAsiaTheme="majorEastAsia"/>
          <w:color w:val="000000"/>
          <w:lang w:val="fr-CA"/>
        </w:rPr>
        <w:t>Département d’histoire de l’art et d’études cinématographiques</w:t>
      </w:r>
    </w:p>
    <w:p w14:paraId="29F63C67" w14:textId="77777777" w:rsidR="00AF79FC" w:rsidRPr="00937052" w:rsidRDefault="00AF79FC" w:rsidP="00937052">
      <w:pPr>
        <w:pStyle w:val="NormalWeb"/>
        <w:spacing w:before="0" w:beforeAutospacing="0" w:after="0" w:afterAutospacing="0" w:line="276" w:lineRule="auto"/>
        <w:jc w:val="center"/>
        <w:rPr>
          <w:lang w:val="fr-CA"/>
        </w:rPr>
      </w:pPr>
      <w:r w:rsidRPr="00937052">
        <w:rPr>
          <w:rFonts w:eastAsiaTheme="majorEastAsia"/>
          <w:color w:val="000000"/>
          <w:lang w:val="fr-CA"/>
        </w:rPr>
        <w:t>Université de Montréal</w:t>
      </w:r>
    </w:p>
    <w:p w14:paraId="66781601" w14:textId="77777777" w:rsidR="00AF79FC" w:rsidRPr="00937052" w:rsidRDefault="00AF79FC" w:rsidP="00937052">
      <w:pPr>
        <w:pStyle w:val="NormalWeb"/>
        <w:spacing w:before="0" w:beforeAutospacing="0" w:after="0" w:afterAutospacing="0" w:line="276" w:lineRule="auto"/>
        <w:jc w:val="center"/>
        <w:rPr>
          <w:lang w:val="fr-CA"/>
        </w:rPr>
      </w:pPr>
      <w:hyperlink r:id="rId8" w:history="1">
        <w:r w:rsidRPr="00937052">
          <w:rPr>
            <w:rStyle w:val="Hyperlink"/>
            <w:rFonts w:eastAsiaTheme="majorEastAsia"/>
            <w:color w:val="0563C1"/>
            <w:u w:color="0563C1"/>
            <w:lang w:val="fr-CA"/>
          </w:rPr>
          <w:t>marion.froger@umontreal.ca</w:t>
        </w:r>
      </w:hyperlink>
    </w:p>
    <w:p w14:paraId="27F1155B" w14:textId="77777777" w:rsidR="00AF79FC" w:rsidRPr="00937052" w:rsidRDefault="00AF79FC" w:rsidP="00937052">
      <w:pPr>
        <w:pStyle w:val="NormalWeb"/>
        <w:spacing w:before="0" w:beforeAutospacing="0" w:after="0" w:afterAutospacing="0" w:line="276" w:lineRule="auto"/>
        <w:jc w:val="center"/>
        <w:rPr>
          <w:lang w:val="fr-CA"/>
        </w:rPr>
      </w:pPr>
      <w:hyperlink r:id="rId9" w:history="1">
        <w:r w:rsidRPr="00937052">
          <w:rPr>
            <w:rStyle w:val="Hyperlink"/>
            <w:rFonts w:eastAsiaTheme="majorEastAsia"/>
            <w:color w:val="0563C1"/>
            <w:u w:color="0563C1"/>
            <w:lang w:val="fr-CA"/>
          </w:rPr>
          <w:t>caroline.bem@umontreal.ca</w:t>
        </w:r>
      </w:hyperlink>
      <w:r w:rsidRPr="00937052">
        <w:rPr>
          <w:rFonts w:eastAsiaTheme="majorEastAsia"/>
          <w:color w:val="000000"/>
          <w:lang w:val="fr-CA"/>
        </w:rPr>
        <w:t xml:space="preserve"> </w:t>
      </w:r>
    </w:p>
    <w:p w14:paraId="66CD1A99" w14:textId="77777777" w:rsidR="00AF79FC" w:rsidRPr="00937052" w:rsidRDefault="00AF79FC" w:rsidP="00937052">
      <w:pPr>
        <w:pStyle w:val="NormalWeb"/>
        <w:spacing w:before="0" w:beforeAutospacing="0" w:after="0" w:afterAutospacing="0" w:line="276" w:lineRule="auto"/>
        <w:jc w:val="center"/>
        <w:rPr>
          <w:lang w:val="fr-CA"/>
        </w:rPr>
      </w:pPr>
      <w:hyperlink r:id="rId10" w:history="1">
        <w:r w:rsidRPr="00937052">
          <w:rPr>
            <w:rStyle w:val="Hyperlink"/>
            <w:rFonts w:eastAsiaTheme="majorEastAsia"/>
            <w:color w:val="0563C1"/>
            <w:u w:color="0563C1"/>
            <w:lang w:val="fr-CA"/>
          </w:rPr>
          <w:t>https://im.erudit.org/</w:t>
        </w:r>
      </w:hyperlink>
      <w:r w:rsidRPr="00937052">
        <w:rPr>
          <w:rFonts w:eastAsiaTheme="majorEastAsia"/>
          <w:color w:val="000000"/>
          <w:lang w:val="fr-CA"/>
        </w:rPr>
        <w:t xml:space="preserve">  </w:t>
      </w:r>
    </w:p>
    <w:p w14:paraId="658257EA" w14:textId="77777777" w:rsidR="00AF79FC" w:rsidRPr="00937052" w:rsidRDefault="00AF79FC" w:rsidP="00937052">
      <w:pPr>
        <w:pStyle w:val="NormalWeb"/>
        <w:spacing w:before="0" w:beforeAutospacing="0" w:after="0" w:afterAutospacing="0" w:line="276" w:lineRule="auto"/>
        <w:jc w:val="center"/>
      </w:pPr>
      <w:hyperlink r:id="rId11" w:history="1">
        <w:r w:rsidRPr="00937052">
          <w:rPr>
            <w:rStyle w:val="Hyperlink"/>
            <w:rFonts w:eastAsiaTheme="majorEastAsia"/>
            <w:color w:val="0563C1"/>
            <w:u w:color="0563C1"/>
          </w:rPr>
          <w:t xml:space="preserve">@intermedialites </w:t>
        </w:r>
      </w:hyperlink>
    </w:p>
    <w:p w14:paraId="1CA24BC3" w14:textId="13357C4D" w:rsidR="00AF79FC" w:rsidRPr="00937052" w:rsidRDefault="00AF79FC" w:rsidP="00AF79FC">
      <w:pPr>
        <w:pStyle w:val="ListParagraph"/>
        <w:spacing w:line="360" w:lineRule="auto"/>
        <w:jc w:val="both"/>
        <w:rPr>
          <w:rFonts w:ascii="Times New Roman" w:eastAsia="Times New Roman" w:hAnsi="Times New Roman" w:cs="Times New Roman"/>
          <w:b/>
          <w:bCs/>
          <w:lang w:val="en-CA"/>
        </w:rPr>
      </w:pPr>
    </w:p>
    <w:p w14:paraId="54C7A243" w14:textId="77777777" w:rsidR="00937052" w:rsidRPr="00937052" w:rsidRDefault="00937052" w:rsidP="00937052">
      <w:pPr>
        <w:pStyle w:val="CorpsA"/>
        <w:jc w:val="center"/>
        <w:rPr>
          <w:rFonts w:ascii="Times New Roman" w:eastAsia="Times New Roman" w:hAnsi="Times New Roman" w:cs="Times New Roman"/>
          <w:i/>
          <w:iCs/>
          <w:lang w:val="en-US"/>
        </w:rPr>
      </w:pPr>
      <w:r w:rsidRPr="00937052">
        <w:rPr>
          <w:rFonts w:ascii="Times New Roman" w:eastAsia="Times New Roman" w:hAnsi="Times New Roman" w:cs="Times New Roman"/>
          <w:iCs/>
          <w:lang w:val="en-US"/>
        </w:rPr>
        <w:t>Présenté au / Presented at the</w:t>
      </w:r>
      <w:r w:rsidRPr="00937052">
        <w:rPr>
          <w:rFonts w:ascii="Times New Roman" w:eastAsia="Times New Roman" w:hAnsi="Times New Roman" w:cs="Times New Roman"/>
          <w:i/>
          <w:iCs/>
          <w:lang w:val="en-US"/>
        </w:rPr>
        <w:t xml:space="preserve"> 21st World Congress of the International Comparative</w:t>
      </w:r>
    </w:p>
    <w:p w14:paraId="09A8BEDB" w14:textId="77777777" w:rsidR="00937052" w:rsidRPr="00937052" w:rsidRDefault="00937052" w:rsidP="00937052">
      <w:pPr>
        <w:pStyle w:val="CorpsA"/>
        <w:jc w:val="center"/>
        <w:rPr>
          <w:rFonts w:ascii="Times New Roman" w:eastAsia="Times New Roman" w:hAnsi="Times New Roman" w:cs="Times New Roman"/>
          <w:i/>
          <w:iCs/>
          <w:lang w:val="en-US"/>
        </w:rPr>
      </w:pPr>
      <w:r w:rsidRPr="00937052">
        <w:rPr>
          <w:rFonts w:ascii="Times New Roman" w:eastAsia="Times New Roman" w:hAnsi="Times New Roman" w:cs="Times New Roman"/>
          <w:i/>
          <w:iCs/>
          <w:lang w:val="en-US"/>
        </w:rPr>
        <w:t xml:space="preserve">Literature Association </w:t>
      </w:r>
      <w:r w:rsidRPr="00937052">
        <w:rPr>
          <w:rFonts w:ascii="Times New Roman" w:eastAsia="Times New Roman" w:hAnsi="Times New Roman" w:cs="Times New Roman"/>
          <w:iCs/>
          <w:lang w:val="en-US"/>
        </w:rPr>
        <w:t>(ICLA), juillet 2016</w:t>
      </w:r>
    </w:p>
    <w:p w14:paraId="7C067EFF" w14:textId="77777777" w:rsidR="00AF79FC" w:rsidRPr="00AF79FC" w:rsidRDefault="00AF79FC" w:rsidP="00AF79FC">
      <w:pPr>
        <w:pStyle w:val="ListParagraph"/>
        <w:spacing w:line="360" w:lineRule="auto"/>
        <w:jc w:val="both"/>
        <w:rPr>
          <w:rFonts w:ascii="Times New Roman" w:eastAsia="Times New Roman" w:hAnsi="Times New Roman" w:cs="Times New Roman"/>
          <w:b/>
          <w:bCs/>
          <w:sz w:val="28"/>
          <w:szCs w:val="28"/>
        </w:rPr>
      </w:pPr>
    </w:p>
    <w:p w14:paraId="1B187D8B" w14:textId="77867369" w:rsidR="00220B0E" w:rsidRPr="00937052" w:rsidRDefault="007B3C01">
      <w:pPr>
        <w:pStyle w:val="ListParagraph"/>
        <w:numPr>
          <w:ilvl w:val="0"/>
          <w:numId w:val="2"/>
        </w:numPr>
        <w:spacing w:line="360" w:lineRule="auto"/>
        <w:jc w:val="both"/>
        <w:rPr>
          <w:rFonts w:ascii="Times New Roman" w:eastAsia="Times New Roman" w:hAnsi="Times New Roman" w:cs="Times New Roman"/>
          <w:b/>
          <w:bCs/>
        </w:rPr>
      </w:pPr>
      <w:r w:rsidRPr="00937052">
        <w:rPr>
          <w:rFonts w:ascii="Times New Roman" w:hAnsi="Times New Roman"/>
          <w:b/>
          <w:bCs/>
        </w:rPr>
        <w:t xml:space="preserve">Présentation de la revue </w:t>
      </w:r>
      <w:r w:rsidRPr="00937052">
        <w:rPr>
          <w:rFonts w:ascii="Times New Roman" w:hAnsi="Times New Roman"/>
          <w:b/>
          <w:bCs/>
          <w:i/>
          <w:iCs/>
        </w:rPr>
        <w:t>Intermédialités</w:t>
      </w:r>
    </w:p>
    <w:p w14:paraId="1594F5EC" w14:textId="626659FD" w:rsidR="00220B0E" w:rsidRPr="00937052" w:rsidRDefault="00220B0E">
      <w:pPr>
        <w:pStyle w:val="CorpsA"/>
        <w:spacing w:line="360" w:lineRule="auto"/>
        <w:jc w:val="both"/>
        <w:rPr>
          <w:rFonts w:ascii="Times New Roman" w:eastAsia="Times New Roman" w:hAnsi="Times New Roman" w:cs="Times New Roman"/>
        </w:rPr>
      </w:pPr>
    </w:p>
    <w:p w14:paraId="0EAB0999" w14:textId="25349D1E" w:rsidR="00220B0E" w:rsidRPr="00937052" w:rsidRDefault="007B3C01">
      <w:pPr>
        <w:pStyle w:val="CorpsA"/>
        <w:widowControl w:val="0"/>
        <w:spacing w:line="360" w:lineRule="auto"/>
        <w:jc w:val="both"/>
        <w:rPr>
          <w:rFonts w:ascii="Times New Roman" w:eastAsia="Times New Roman" w:hAnsi="Times New Roman" w:cs="Times New Roman"/>
        </w:rPr>
      </w:pPr>
      <w:r w:rsidRPr="00937052">
        <w:rPr>
          <w:rFonts w:ascii="Times New Roman" w:hAnsi="Times New Roman"/>
        </w:rPr>
        <w:t xml:space="preserve">Fondée en 2003, </w:t>
      </w:r>
      <w:r w:rsidRPr="00937052">
        <w:rPr>
          <w:rFonts w:ascii="Times New Roman" w:hAnsi="Times New Roman"/>
          <w:i/>
          <w:iCs/>
        </w:rPr>
        <w:t>Intermédialités</w:t>
      </w:r>
      <w:r w:rsidRPr="00937052">
        <w:rPr>
          <w:rFonts w:ascii="Times New Roman" w:hAnsi="Times New Roman"/>
        </w:rPr>
        <w:t xml:space="preserve"> est une revue scientifique des Presses de l'Université de Montréal qui publie deux numé</w:t>
      </w:r>
      <w:r w:rsidRPr="00937052">
        <w:rPr>
          <w:rFonts w:ascii="Times New Roman" w:hAnsi="Times New Roman"/>
          <w:lang w:val="fr-CA"/>
        </w:rPr>
        <w:t>ros th</w:t>
      </w:r>
      <w:r w:rsidRPr="00937052">
        <w:rPr>
          <w:rFonts w:ascii="Times New Roman" w:hAnsi="Times New Roman"/>
        </w:rPr>
        <w:t xml:space="preserve">ématiques par an regroupant des articles en français et en anglais, et embrassant une diversité d'objets, de supports et d'axes conceptuels. </w:t>
      </w:r>
      <w:r w:rsidRPr="00937052">
        <w:rPr>
          <w:rFonts w:ascii="Times New Roman" w:hAnsi="Times New Roman"/>
          <w:i/>
          <w:iCs/>
        </w:rPr>
        <w:t>Intermédialités</w:t>
      </w:r>
      <w:r w:rsidRPr="00937052">
        <w:rPr>
          <w:rFonts w:ascii="Times New Roman" w:hAnsi="Times New Roman"/>
        </w:rPr>
        <w:t xml:space="preserve"> aborde l'étude des relations entre les médias, les techniques, les institutions, les imaginaires et les discours sociaux et ce, afin d’approfondir et de renouveler les approches contextuelles dans le domaine des arts et lettres, pour mieux comprendre le milieu où ils s’épanouissent, qu’ils configurent ou réinventent. À </w:t>
      </w:r>
      <w:r w:rsidRPr="00937052">
        <w:rPr>
          <w:rFonts w:ascii="Times New Roman" w:hAnsi="Times New Roman"/>
          <w:lang w:val="es-ES_tradnl"/>
        </w:rPr>
        <w:t>partir de l</w:t>
      </w:r>
      <w:r w:rsidRPr="00937052">
        <w:rPr>
          <w:rFonts w:ascii="Times New Roman" w:hAnsi="Times New Roman"/>
        </w:rPr>
        <w:t>’</w:t>
      </w:r>
      <w:r w:rsidRPr="00937052">
        <w:rPr>
          <w:rFonts w:ascii="Times New Roman" w:hAnsi="Times New Roman"/>
          <w:lang w:val="fr-CA"/>
        </w:rPr>
        <w:t>hypoth</w:t>
      </w:r>
      <w:r w:rsidRPr="00937052">
        <w:rPr>
          <w:rFonts w:ascii="Times New Roman" w:hAnsi="Times New Roman"/>
        </w:rPr>
        <w:t xml:space="preserve">èse de base des études médiatiques elles-mêmes, selon laquelle il n’existe pas de média autonome, mais bien une intermédialité constituante des formes et dont dépendent l’impact, la circulation et la rémanence des contenus culturels, il s’agit aussi de donner, aux études culturelles, un arrimage solide dans l’analyse des matérialités impliquées dans la production et l'expérience de ces contenus. C’est pourquoi, depuis 11 ans, la revue vise à construire un espace interdisciplinaire, comme le montrent ses pages accueillant et visant </w:t>
      </w:r>
      <w:r w:rsidRPr="00937052">
        <w:rPr>
          <w:rFonts w:ascii="Times New Roman" w:hAnsi="Times New Roman"/>
        </w:rPr>
        <w:lastRenderedPageBreak/>
        <w:t xml:space="preserve">les études littéraires, cinématographiques et médiatiques, l’histoire de l’art et la communication, l’architecture, l’anthropologie, la sociologie et la philosophie. </w:t>
      </w:r>
      <w:r w:rsidRPr="00937052">
        <w:rPr>
          <w:rFonts w:ascii="Times New Roman" w:hAnsi="Times New Roman"/>
          <w:i/>
          <w:iCs/>
        </w:rPr>
        <w:t>Intermédialités</w:t>
      </w:r>
      <w:r w:rsidRPr="00937052">
        <w:rPr>
          <w:rFonts w:ascii="Times New Roman" w:hAnsi="Times New Roman"/>
        </w:rPr>
        <w:t xml:space="preserve"> se distingue des autres revues pluridisciplinaires par son parti pris à la fois théorique et historique : elle ne relève pas d’une é</w:t>
      </w:r>
      <w:r w:rsidRPr="00937052">
        <w:rPr>
          <w:rFonts w:ascii="Times New Roman" w:hAnsi="Times New Roman"/>
          <w:lang w:val="fr-CA"/>
        </w:rPr>
        <w:t>cole th</w:t>
      </w:r>
      <w:r w:rsidRPr="00937052">
        <w:rPr>
          <w:rFonts w:ascii="Times New Roman" w:hAnsi="Times New Roman"/>
        </w:rPr>
        <w:t>éorique particulière mais accueille une grande variété d’assises conceptuelles d’</w:t>
      </w:r>
      <w:r w:rsidRPr="00937052">
        <w:rPr>
          <w:rFonts w:ascii="Times New Roman" w:hAnsi="Times New Roman"/>
          <w:lang w:val="fr-CA"/>
        </w:rPr>
        <w:t xml:space="preserve">un article </w:t>
      </w:r>
      <w:r w:rsidRPr="00937052">
        <w:rPr>
          <w:rFonts w:ascii="Times New Roman" w:hAnsi="Times New Roman"/>
        </w:rPr>
        <w:t>à l’autre, en s’appuyant sur l’idée d’une nécessaire adaptation méthodologique et théorique aux objets qu’il s’agit d’é</w:t>
      </w:r>
      <w:r w:rsidRPr="00937052">
        <w:rPr>
          <w:rFonts w:ascii="Times New Roman" w:hAnsi="Times New Roman"/>
          <w:lang w:val="it-IT"/>
        </w:rPr>
        <w:t>tudier. La revue s</w:t>
      </w:r>
      <w:r w:rsidRPr="00937052">
        <w:rPr>
          <w:rFonts w:ascii="Times New Roman" w:hAnsi="Times New Roman"/>
        </w:rPr>
        <w:t>’intéresse aux dimensions intermédiales des objets, mais ne se limite pas à l’étude d’un objet en particulier ; elle ne se spécialise pas non plus dans une dimension intermé</w:t>
      </w:r>
      <w:r w:rsidRPr="00937052">
        <w:rPr>
          <w:rFonts w:ascii="Times New Roman" w:hAnsi="Times New Roman"/>
          <w:lang w:val="it-IT"/>
        </w:rPr>
        <w:t>diale particuli</w:t>
      </w:r>
      <w:r w:rsidRPr="00937052">
        <w:rPr>
          <w:rFonts w:ascii="Times New Roman" w:hAnsi="Times New Roman"/>
        </w:rPr>
        <w:t xml:space="preserve">ère, ou dans la seule analyse des créations contemporaines. Elle fait une large place aux analyses à </w:t>
      </w:r>
      <w:r w:rsidRPr="00937052">
        <w:rPr>
          <w:rFonts w:ascii="Times New Roman" w:hAnsi="Times New Roman"/>
          <w:lang w:val="it-IT"/>
        </w:rPr>
        <w:t>caract</w:t>
      </w:r>
      <w:r w:rsidRPr="00937052">
        <w:rPr>
          <w:rFonts w:ascii="Times New Roman" w:hAnsi="Times New Roman"/>
        </w:rPr>
        <w:t>ère historique afin de toujours proposer une réflexion sur la longue durée. Depuis 2013, après 10 ans d’existence et 20 numéros parus sur support papier, la revue publie tous ses numé</w:t>
      </w:r>
      <w:r w:rsidRPr="00937052">
        <w:rPr>
          <w:rFonts w:ascii="Times New Roman" w:hAnsi="Times New Roman"/>
          <w:lang w:val="es-ES_tradnl"/>
        </w:rPr>
        <w:t>ros r</w:t>
      </w:r>
      <w:r w:rsidRPr="00937052">
        <w:rPr>
          <w:rFonts w:ascii="Times New Roman" w:hAnsi="Times New Roman"/>
        </w:rPr>
        <w:t>éguliers sur support numérique et les diffuse sur le portail Érudit et sur son site en format HTML, document PDF et fichier epub adaptés à la lecture sur tablettes. La revue est désormais riche de types de matériaux (vidéos, enregistrements sonores, bases de donné</w:t>
      </w:r>
      <w:r w:rsidRPr="00937052">
        <w:rPr>
          <w:rFonts w:ascii="Times New Roman" w:hAnsi="Times New Roman"/>
          <w:lang w:val="fr-CA"/>
        </w:rPr>
        <w:t>es, sites web interactifs) ferm</w:t>
      </w:r>
      <w:r w:rsidRPr="00937052">
        <w:rPr>
          <w:rFonts w:ascii="Times New Roman" w:hAnsi="Times New Roman"/>
        </w:rPr>
        <w:t>és au papier. Dans le prolongement du classique dossier d'artiste qui faisait la singularité d’</w:t>
      </w:r>
      <w:r w:rsidRPr="00937052">
        <w:rPr>
          <w:rFonts w:ascii="Times New Roman" w:hAnsi="Times New Roman"/>
          <w:i/>
          <w:iCs/>
        </w:rPr>
        <w:t>Intermédialités</w:t>
      </w:r>
      <w:r w:rsidRPr="00937052">
        <w:rPr>
          <w:rFonts w:ascii="Times New Roman" w:hAnsi="Times New Roman"/>
        </w:rPr>
        <w:t xml:space="preserve"> en version imprimée, ces formats sont utilisés au sein des articles, à titre d’illustrations, et dans des rubriques n</w:t>
      </w:r>
      <w:r w:rsidR="00937052">
        <w:rPr>
          <w:rFonts w:ascii="Times New Roman" w:hAnsi="Times New Roman"/>
        </w:rPr>
        <w:t>ouvellement créées telles que « </w:t>
      </w:r>
      <w:r w:rsidRPr="00937052">
        <w:rPr>
          <w:rFonts w:ascii="Times New Roman" w:hAnsi="Times New Roman"/>
          <w:lang w:val="de-DE"/>
        </w:rPr>
        <w:t>Recherche-cr</w:t>
      </w:r>
      <w:r w:rsidR="00937052">
        <w:rPr>
          <w:rFonts w:ascii="Times New Roman" w:hAnsi="Times New Roman"/>
        </w:rPr>
        <w:t>éation » et « Contrepoints </w:t>
      </w:r>
      <w:r w:rsidRPr="00937052">
        <w:rPr>
          <w:rFonts w:ascii="Times New Roman" w:hAnsi="Times New Roman"/>
        </w:rPr>
        <w:t>».</w:t>
      </w:r>
    </w:p>
    <w:p w14:paraId="529BE229" w14:textId="77777777" w:rsidR="00220B0E" w:rsidRPr="00937052" w:rsidRDefault="00220B0E">
      <w:pPr>
        <w:pStyle w:val="CorpsA"/>
        <w:spacing w:line="360" w:lineRule="auto"/>
        <w:jc w:val="both"/>
        <w:rPr>
          <w:rFonts w:ascii="Times New Roman" w:eastAsia="Times New Roman" w:hAnsi="Times New Roman" w:cs="Times New Roman"/>
        </w:rPr>
      </w:pPr>
    </w:p>
    <w:p w14:paraId="414025D9" w14:textId="77777777" w:rsidR="00220B0E" w:rsidRPr="00937052" w:rsidRDefault="007B3C01">
      <w:pPr>
        <w:pStyle w:val="ListParagraph"/>
        <w:numPr>
          <w:ilvl w:val="0"/>
          <w:numId w:val="2"/>
        </w:numPr>
        <w:spacing w:line="360" w:lineRule="auto"/>
        <w:jc w:val="both"/>
        <w:rPr>
          <w:rFonts w:ascii="Times New Roman" w:eastAsia="Times New Roman" w:hAnsi="Times New Roman" w:cs="Times New Roman"/>
          <w:b/>
          <w:bCs/>
        </w:rPr>
      </w:pPr>
      <w:r w:rsidRPr="00937052">
        <w:rPr>
          <w:rFonts w:ascii="Times New Roman" w:hAnsi="Times New Roman"/>
          <w:b/>
          <w:bCs/>
        </w:rPr>
        <w:t xml:space="preserve">Note méthodologique </w:t>
      </w:r>
    </w:p>
    <w:p w14:paraId="54F8BF56" w14:textId="77777777" w:rsidR="00220B0E" w:rsidRPr="00937052" w:rsidRDefault="00220B0E">
      <w:pPr>
        <w:pStyle w:val="CorpsA"/>
        <w:spacing w:line="360" w:lineRule="auto"/>
        <w:jc w:val="both"/>
        <w:rPr>
          <w:rFonts w:ascii="Times New Roman" w:eastAsia="Times New Roman" w:hAnsi="Times New Roman" w:cs="Times New Roman"/>
        </w:rPr>
      </w:pPr>
    </w:p>
    <w:p w14:paraId="65D12759"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 xml:space="preserve">Afin de vous brosser ce portrait de la revue et de préparer l’exposé d’une étude de cas exemplaire – dont Caroline s’est admirablement acquittée -, nous avons procédé à une analyse d’échantillon (un article par numéro paru) selon une grille d’analyse qui nous a permis : 1) d’identifier les « cas » d’études parus dans la revue qui ne se limitent pas à des œuvres (La tapisserie de Bayeux, la Symphonie numéro 1 de Schnittke, le film </w:t>
      </w:r>
      <w:r w:rsidRPr="00937052">
        <w:rPr>
          <w:rFonts w:ascii="Times New Roman" w:hAnsi="Times New Roman"/>
          <w:i/>
          <w:iCs/>
        </w:rPr>
        <w:t>Chronique d'un été</w:t>
      </w:r>
      <w:r w:rsidRPr="00937052">
        <w:rPr>
          <w:rFonts w:ascii="Times New Roman" w:hAnsi="Times New Roman"/>
        </w:rPr>
        <w:t xml:space="preserve">, etc.) ou à des pratiques artistiques spécifiques (le jeu d’acteur, l’art de la performance), mais incluent aussi bien des corpus de textes (les écrits expérimentaux de Kracauer dans la </w:t>
      </w:r>
      <w:r w:rsidRPr="00937052">
        <w:rPr>
          <w:rFonts w:ascii="Times New Roman" w:hAnsi="Times New Roman"/>
          <w:i/>
          <w:iCs/>
          <w:lang w:val="de-DE"/>
        </w:rPr>
        <w:t>Frankfurter Zeitung</w:t>
      </w:r>
      <w:r w:rsidRPr="00937052">
        <w:rPr>
          <w:rFonts w:ascii="Times New Roman" w:hAnsi="Times New Roman"/>
          <w:i/>
          <w:iCs/>
        </w:rPr>
        <w:t> </w:t>
      </w:r>
      <w:r w:rsidRPr="00937052">
        <w:rPr>
          <w:rFonts w:ascii="Times New Roman" w:hAnsi="Times New Roman"/>
        </w:rPr>
        <w:t xml:space="preserve">; les discours critiques sur la poésie et le théâtre et leur circulation au XVIIe), des produits culturels (la série télévisée </w:t>
      </w:r>
      <w:r w:rsidRPr="00937052">
        <w:rPr>
          <w:rFonts w:ascii="Times New Roman" w:hAnsi="Times New Roman"/>
          <w:i/>
          <w:iCs/>
          <w:lang w:val="es-ES_tradnl"/>
        </w:rPr>
        <w:t>Les Shadoks</w:t>
      </w:r>
      <w:r w:rsidRPr="00937052">
        <w:rPr>
          <w:rFonts w:ascii="Times New Roman" w:hAnsi="Times New Roman"/>
        </w:rPr>
        <w:t xml:space="preserve">, le jeu </w:t>
      </w:r>
      <w:r w:rsidRPr="00937052">
        <w:rPr>
          <w:rFonts w:ascii="Times New Roman" w:hAnsi="Times New Roman"/>
        </w:rPr>
        <w:lastRenderedPageBreak/>
        <w:t xml:space="preserve">vidéo </w:t>
      </w:r>
      <w:r w:rsidRPr="00937052">
        <w:rPr>
          <w:rFonts w:ascii="Times New Roman" w:hAnsi="Times New Roman"/>
          <w:i/>
          <w:iCs/>
          <w:lang w:val="fr-CA"/>
        </w:rPr>
        <w:t>Call of Duty</w:t>
      </w:r>
      <w:r w:rsidRPr="00937052">
        <w:rPr>
          <w:rFonts w:ascii="Times New Roman" w:hAnsi="Times New Roman"/>
        </w:rPr>
        <w:t>),  des paradigmes (la transparence), des dispositifs (l’abattoir), et des objets aussi subtiles que la voix, aussi insaisissable qu’un visage, ou encore des activités ou des événements exemplaires </w:t>
      </w:r>
      <w:r w:rsidRPr="00937052">
        <w:rPr>
          <w:rFonts w:ascii="Times New Roman" w:hAnsi="Times New Roman"/>
          <w:lang w:val="it-IT"/>
        </w:rPr>
        <w:t>(l'exp</w:t>
      </w:r>
      <w:r w:rsidRPr="00937052">
        <w:rPr>
          <w:rFonts w:ascii="Times New Roman" w:hAnsi="Times New Roman"/>
        </w:rPr>
        <w:t>édition interdisciplinaire de l’</w:t>
      </w:r>
      <w:r w:rsidRPr="00937052">
        <w:rPr>
          <w:rFonts w:ascii="Times New Roman" w:hAnsi="Times New Roman"/>
          <w:lang w:val="fr-CA"/>
        </w:rPr>
        <w:t>anthropologue De Martino).  2)</w:t>
      </w:r>
      <w:r w:rsidRPr="00937052">
        <w:rPr>
          <w:rFonts w:ascii="Times New Roman" w:hAnsi="Times New Roman"/>
        </w:rPr>
        <w:t> Nous avons ensuite repéré si les auteurs, pour analyser ces objets, leur attribuaient des qualités ou des fonctions médiales ou identifier les « médialités » dont ils procédaient (j’</w:t>
      </w:r>
      <w:r w:rsidRPr="00937052">
        <w:rPr>
          <w:rFonts w:ascii="Times New Roman" w:hAnsi="Times New Roman"/>
          <w:lang w:val="es-ES_tradnl"/>
        </w:rPr>
        <w:t>y revien</w:t>
      </w:r>
      <w:r w:rsidRPr="00937052">
        <w:rPr>
          <w:rFonts w:ascii="Times New Roman" w:hAnsi="Times New Roman"/>
        </w:rPr>
        <w:t>drai longuement par la suite) ; 4) nous avons repéré les élé</w:t>
      </w:r>
      <w:r w:rsidRPr="00937052">
        <w:rPr>
          <w:rFonts w:ascii="Times New Roman" w:hAnsi="Times New Roman"/>
          <w:lang w:val="fr-CA"/>
        </w:rPr>
        <w:t>ments de th</w:t>
      </w:r>
      <w:r w:rsidRPr="00937052">
        <w:rPr>
          <w:rFonts w:ascii="Times New Roman" w:hAnsi="Times New Roman"/>
        </w:rPr>
        <w:t>éorisation des dynamiques dont leur analyse procédait ou qu’elle produisait : ces éléments, nous les avons mis en relation avec leur cadre conceptuel emprunté</w:t>
      </w:r>
      <w:r w:rsidRPr="00937052">
        <w:rPr>
          <w:rFonts w:ascii="Times New Roman" w:hAnsi="Times New Roman"/>
          <w:lang w:val="pt-PT"/>
        </w:rPr>
        <w:t>s ou cr</w:t>
      </w:r>
      <w:r w:rsidRPr="00937052">
        <w:rPr>
          <w:rFonts w:ascii="Times New Roman" w:hAnsi="Times New Roman"/>
        </w:rPr>
        <w:t xml:space="preserve">éés ;  5) nous avons repéré aussi les processus de médiation qu’elle mettait en lumière et qui intéressent – par ailleurs - des disciplines et des expertises existantes sur les travaux desquels se reposent les auteurs : </w:t>
      </w:r>
      <w:r w:rsidRPr="00937052">
        <w:rPr>
          <w:rFonts w:ascii="Times New Roman" w:hAnsi="Times New Roman"/>
          <w:i/>
          <w:iCs/>
          <w:lang w:val="de-DE"/>
        </w:rPr>
        <w:t>Memory Studies, Sound Studies, Urban Studies</w:t>
      </w:r>
      <w:r w:rsidRPr="00937052">
        <w:rPr>
          <w:rFonts w:ascii="Times New Roman" w:hAnsi="Times New Roman"/>
        </w:rPr>
        <w:t xml:space="preserve"> histoire des expositions, </w:t>
      </w:r>
      <w:r w:rsidRPr="00937052">
        <w:rPr>
          <w:rFonts w:ascii="Times New Roman" w:hAnsi="Times New Roman"/>
          <w:i/>
          <w:iCs/>
          <w:lang w:val="fr-CA"/>
        </w:rPr>
        <w:t>Thanatology, Alternate World Theory</w:t>
      </w:r>
      <w:r w:rsidRPr="00937052">
        <w:rPr>
          <w:rFonts w:ascii="Times New Roman" w:hAnsi="Times New Roman"/>
        </w:rPr>
        <w:t>, archivistique, micro-histoire, ethnographie des milieux cré</w:t>
      </w:r>
      <w:r w:rsidRPr="00937052">
        <w:rPr>
          <w:rFonts w:ascii="Times New Roman" w:hAnsi="Times New Roman"/>
          <w:lang w:val="fr-CA"/>
        </w:rPr>
        <w:t>atifs, th</w:t>
      </w:r>
      <w:r w:rsidRPr="00937052">
        <w:rPr>
          <w:rFonts w:ascii="Times New Roman" w:hAnsi="Times New Roman"/>
        </w:rPr>
        <w:t>éorie du jeu, etc.  6) pour au final nous inté</w:t>
      </w:r>
      <w:r w:rsidRPr="00937052">
        <w:rPr>
          <w:rFonts w:ascii="Times New Roman" w:hAnsi="Times New Roman"/>
          <w:lang w:val="it-IT"/>
        </w:rPr>
        <w:t xml:space="preserve">resser </w:t>
      </w:r>
      <w:r w:rsidRPr="00937052">
        <w:rPr>
          <w:rFonts w:ascii="Times New Roman" w:hAnsi="Times New Roman"/>
        </w:rPr>
        <w:t xml:space="preserve">à la manière dont les auteurs articulaient </w:t>
      </w:r>
      <w:r w:rsidRPr="00937052">
        <w:rPr>
          <w:rFonts w:ascii="Times New Roman" w:hAnsi="Times New Roman"/>
          <w:i/>
          <w:iCs/>
        </w:rPr>
        <w:t xml:space="preserve">éventuellement </w:t>
      </w:r>
      <w:r w:rsidRPr="00937052">
        <w:rPr>
          <w:rFonts w:ascii="Times New Roman" w:hAnsi="Times New Roman"/>
        </w:rPr>
        <w:t>les rapports entre médias, techniques, institutions, imaginaires et discours. À vrai dire, ce dernier niveau n’est présent que dans très peu d’études de cas et le rendu de leur rapport n’est pas toujours complet. Anne Bénichou s’en acquitte avec brio dans son article portant sur la re-création – par l’institution muséale – des performances de Marina Abramovic. Elle insiste sur l’enjeu de contrôle dans l’utilisation des nouvelles technologies qui renforce « l’autorité » de l’artiste ; mais elle met aussi en lumière la mythologisation de la performance comme « expérience de la présence » qui renforce de son côté l’autorité de l’institution muséale. Cet enjeu et cette tension ainsi dégagés sont en fait propres à l’histoire de la performance. Nous sommes donc loin d’</w:t>
      </w:r>
      <w:r w:rsidRPr="00937052">
        <w:rPr>
          <w:rFonts w:ascii="Times New Roman" w:hAnsi="Times New Roman"/>
          <w:lang w:val="fr-CA"/>
        </w:rPr>
        <w:t>une th</w:t>
      </w:r>
      <w:r w:rsidRPr="00937052">
        <w:rPr>
          <w:rFonts w:ascii="Times New Roman" w:hAnsi="Times New Roman"/>
        </w:rPr>
        <w:t>é</w:t>
      </w:r>
      <w:r w:rsidRPr="00937052">
        <w:rPr>
          <w:rFonts w:ascii="Times New Roman" w:hAnsi="Times New Roman"/>
          <w:lang w:val="de-DE"/>
        </w:rPr>
        <w:t>orie g</w:t>
      </w:r>
      <w:r w:rsidRPr="00937052">
        <w:rPr>
          <w:rFonts w:ascii="Times New Roman" w:hAnsi="Times New Roman"/>
        </w:rPr>
        <w:t xml:space="preserve">énérale de la culture qui demanderait, nous en convenons tous, </w:t>
      </w:r>
      <w:r w:rsidRPr="00937052">
        <w:rPr>
          <w:rFonts w:ascii="Times New Roman" w:hAnsi="Times New Roman"/>
          <w:i/>
          <w:iCs/>
        </w:rPr>
        <w:t>plus</w:t>
      </w:r>
      <w:r w:rsidRPr="00937052">
        <w:rPr>
          <w:rFonts w:ascii="Times New Roman" w:hAnsi="Times New Roman"/>
        </w:rPr>
        <w:t xml:space="preserve"> qu’une é</w:t>
      </w:r>
      <w:r w:rsidRPr="00937052">
        <w:rPr>
          <w:rFonts w:ascii="Times New Roman" w:hAnsi="Times New Roman"/>
          <w:lang w:val="pt-PT"/>
        </w:rPr>
        <w:t xml:space="preserve">tude de cas. </w:t>
      </w:r>
    </w:p>
    <w:p w14:paraId="23DF6AC2" w14:textId="77777777" w:rsidR="00220B0E" w:rsidRPr="00937052" w:rsidRDefault="00220B0E">
      <w:pPr>
        <w:pStyle w:val="CorpsA"/>
        <w:spacing w:line="360" w:lineRule="auto"/>
        <w:jc w:val="both"/>
        <w:rPr>
          <w:rFonts w:ascii="Times New Roman" w:eastAsia="Times New Roman" w:hAnsi="Times New Roman" w:cs="Times New Roman"/>
        </w:rPr>
      </w:pPr>
    </w:p>
    <w:p w14:paraId="4D0F5DC2"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Cependant, cette théorisation est « </w:t>
      </w:r>
      <w:r w:rsidRPr="00937052">
        <w:rPr>
          <w:rFonts w:ascii="Times New Roman" w:hAnsi="Times New Roman"/>
          <w:lang w:val="it-IT"/>
        </w:rPr>
        <w:t>ambiante</w:t>
      </w:r>
      <w:r w:rsidRPr="00937052">
        <w:rPr>
          <w:rFonts w:ascii="Times New Roman" w:hAnsi="Times New Roman"/>
        </w:rPr>
        <w:t xml:space="preserve"> », comme </w:t>
      </w:r>
      <w:r w:rsidRPr="00937052">
        <w:rPr>
          <w:rFonts w:ascii="Times New Roman" w:hAnsi="Times New Roman"/>
          <w:i/>
          <w:iCs/>
        </w:rPr>
        <w:t>œuvre collective</w:t>
      </w:r>
      <w:r w:rsidRPr="00937052">
        <w:rPr>
          <w:rFonts w:ascii="Times New Roman" w:hAnsi="Times New Roman"/>
        </w:rPr>
        <w:t> : c’est un peu les échos de celle-ci que cette intervention veut faire entendre. Caroline et moi-même sommes engagées dans un projet de synthétisation qui s’appuie précisément sur les études de cas de la revue, et vise à dégager quelque cadres et repè</w:t>
      </w:r>
      <w:r w:rsidRPr="00937052">
        <w:rPr>
          <w:rFonts w:ascii="Times New Roman" w:hAnsi="Times New Roman"/>
          <w:lang w:val="fr-CA"/>
        </w:rPr>
        <w:t>res th</w:t>
      </w:r>
      <w:r w:rsidRPr="00937052">
        <w:rPr>
          <w:rFonts w:ascii="Times New Roman" w:hAnsi="Times New Roman"/>
        </w:rPr>
        <w:t>éoriques neufs.  Nous espérons vous en donner des nouvelles complè</w:t>
      </w:r>
      <w:r w:rsidRPr="00937052">
        <w:rPr>
          <w:rFonts w:ascii="Times New Roman" w:hAnsi="Times New Roman"/>
          <w:lang w:val="pt-PT"/>
        </w:rPr>
        <w:t>tes d</w:t>
      </w:r>
      <w:r w:rsidRPr="00937052">
        <w:rPr>
          <w:rFonts w:ascii="Times New Roman" w:hAnsi="Times New Roman"/>
        </w:rPr>
        <w:t xml:space="preserve">’ici un an, puisque tel est le délai que nous nous </w:t>
      </w:r>
      <w:r w:rsidRPr="00937052">
        <w:rPr>
          <w:rFonts w:ascii="Times New Roman" w:hAnsi="Times New Roman"/>
        </w:rPr>
        <w:lastRenderedPageBreak/>
        <w:t xml:space="preserve">sommes donné pour la produire et la publiciser sur notre nouveau site. En voici, pour l’instant, les grandes lignes : </w:t>
      </w:r>
    </w:p>
    <w:p w14:paraId="618CA7AD" w14:textId="77777777" w:rsidR="00220B0E" w:rsidRPr="00937052" w:rsidRDefault="00220B0E">
      <w:pPr>
        <w:pStyle w:val="CorpsA"/>
        <w:spacing w:line="360" w:lineRule="auto"/>
        <w:jc w:val="both"/>
        <w:rPr>
          <w:rFonts w:ascii="Times New Roman" w:eastAsia="Times New Roman" w:hAnsi="Times New Roman" w:cs="Times New Roman"/>
        </w:rPr>
      </w:pPr>
    </w:p>
    <w:p w14:paraId="6C098DA2" w14:textId="77777777" w:rsidR="00220B0E" w:rsidRPr="00937052" w:rsidRDefault="007B3C01">
      <w:pPr>
        <w:pStyle w:val="ListParagraph"/>
        <w:numPr>
          <w:ilvl w:val="0"/>
          <w:numId w:val="2"/>
        </w:numPr>
        <w:spacing w:line="360" w:lineRule="auto"/>
        <w:jc w:val="both"/>
        <w:rPr>
          <w:rFonts w:ascii="Times New Roman" w:eastAsia="Times New Roman" w:hAnsi="Times New Roman" w:cs="Times New Roman"/>
          <w:b/>
          <w:bCs/>
        </w:rPr>
      </w:pPr>
      <w:r w:rsidRPr="00937052">
        <w:rPr>
          <w:rFonts w:ascii="Times New Roman" w:hAnsi="Times New Roman"/>
          <w:b/>
          <w:bCs/>
        </w:rPr>
        <w:t>Démarche globale</w:t>
      </w:r>
    </w:p>
    <w:p w14:paraId="458B6E5F" w14:textId="77777777" w:rsidR="00220B0E" w:rsidRPr="00937052" w:rsidRDefault="00220B0E">
      <w:pPr>
        <w:pStyle w:val="CorpsA"/>
        <w:spacing w:line="360" w:lineRule="auto"/>
        <w:jc w:val="both"/>
        <w:rPr>
          <w:rFonts w:ascii="Times New Roman" w:eastAsia="Times New Roman" w:hAnsi="Times New Roman" w:cs="Times New Roman"/>
        </w:rPr>
      </w:pPr>
    </w:p>
    <w:p w14:paraId="1116095B"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 xml:space="preserve">En hommage à Karl Sierek, membre de notre comité international et chercheur Viennois réputé dans les </w:t>
      </w:r>
      <w:r w:rsidRPr="00937052">
        <w:rPr>
          <w:rFonts w:ascii="Times New Roman" w:hAnsi="Times New Roman"/>
          <w:i/>
          <w:iCs/>
          <w:lang w:val="de-DE"/>
        </w:rPr>
        <w:t xml:space="preserve">Medias Studies, </w:t>
      </w:r>
      <w:r w:rsidRPr="00937052">
        <w:rPr>
          <w:rFonts w:ascii="Times New Roman" w:hAnsi="Times New Roman"/>
        </w:rPr>
        <w:t xml:space="preserve">nous dirions que, la démarche de la revue, en miroir de celle d’Aby Warburg, vise à analyser la </w:t>
      </w:r>
      <w:r w:rsidRPr="00937052">
        <w:rPr>
          <w:rFonts w:ascii="Times New Roman" w:hAnsi="Times New Roman"/>
          <w:b/>
          <w:bCs/>
        </w:rPr>
        <w:t>production symbolique</w:t>
      </w:r>
      <w:r w:rsidRPr="00937052">
        <w:rPr>
          <w:rFonts w:ascii="Times New Roman" w:hAnsi="Times New Roman"/>
        </w:rPr>
        <w:t xml:space="preserve"> </w:t>
      </w:r>
      <w:r w:rsidRPr="00937052">
        <w:rPr>
          <w:rFonts w:ascii="Times New Roman" w:hAnsi="Times New Roman"/>
          <w:b/>
          <w:bCs/>
        </w:rPr>
        <w:t>sous l’angle de « sa fonction culturelle, sociale et économique globale »</w:t>
      </w:r>
      <w:r w:rsidRPr="00937052">
        <w:rPr>
          <w:rFonts w:ascii="Times New Roman" w:hAnsi="Times New Roman"/>
          <w:lang w:val="pt-PT"/>
        </w:rPr>
        <w:t xml:space="preserve"> [</w:t>
      </w:r>
      <w:r w:rsidRPr="00937052">
        <w:rPr>
          <w:rFonts w:ascii="Times New Roman" w:hAnsi="Times New Roman"/>
          <w:i/>
          <w:iCs/>
        </w:rPr>
        <w:t>Images oiseaux</w:t>
      </w:r>
      <w:r w:rsidRPr="00937052">
        <w:rPr>
          <w:rFonts w:ascii="Times New Roman" w:hAnsi="Times New Roman"/>
          <w:lang w:val="pt-PT"/>
        </w:rPr>
        <w:t>, p. 27]</w:t>
      </w:r>
      <w:r w:rsidRPr="00937052">
        <w:rPr>
          <w:rFonts w:ascii="Times New Roman" w:hAnsi="Times New Roman"/>
        </w:rPr>
        <w:t> en tant qu'elle contribue à « assurer la survie des communautés » sans garantie de stabilité, en même temps qu’elle permet leur relation et qu’</w:t>
      </w:r>
      <w:r w:rsidRPr="00937052">
        <w:rPr>
          <w:rFonts w:ascii="Times New Roman" w:hAnsi="Times New Roman"/>
          <w:lang w:val="it-IT"/>
        </w:rPr>
        <w:t xml:space="preserve">elle participe </w:t>
      </w:r>
      <w:r w:rsidRPr="00937052">
        <w:rPr>
          <w:rFonts w:ascii="Times New Roman" w:hAnsi="Times New Roman"/>
        </w:rPr>
        <w:t xml:space="preserve">à l’actualisation de la notion – et du sentiment – même de communauté. </w:t>
      </w:r>
    </w:p>
    <w:p w14:paraId="1571AF8B" w14:textId="77777777" w:rsidR="00220B0E" w:rsidRPr="00937052" w:rsidRDefault="00220B0E">
      <w:pPr>
        <w:pStyle w:val="CorpsA"/>
        <w:spacing w:line="360" w:lineRule="auto"/>
        <w:jc w:val="both"/>
        <w:rPr>
          <w:rFonts w:ascii="Times New Roman" w:eastAsia="Times New Roman" w:hAnsi="Times New Roman" w:cs="Times New Roman"/>
        </w:rPr>
      </w:pPr>
    </w:p>
    <w:p w14:paraId="456825E9"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Cette démarche consiste donc à abandonner les approches qui visent des communauté</w:t>
      </w:r>
      <w:r w:rsidRPr="00937052">
        <w:rPr>
          <w:rFonts w:ascii="Times New Roman" w:hAnsi="Times New Roman"/>
          <w:lang w:val="pt-PT"/>
        </w:rPr>
        <w:t>s isol</w:t>
      </w:r>
      <w:r w:rsidRPr="00937052">
        <w:rPr>
          <w:rFonts w:ascii="Times New Roman" w:hAnsi="Times New Roman"/>
        </w:rPr>
        <w:t xml:space="preserve">ées et essentialisées par leur expression culturelle, sous quelque forme qu’elle soit (technique, symbolique, économique, rituel, politique, artistique, scientifique). Elle privilégie des approches qui considèrent cette </w:t>
      </w:r>
      <w:r w:rsidRPr="00937052">
        <w:rPr>
          <w:rFonts w:ascii="Times New Roman" w:hAnsi="Times New Roman"/>
          <w:b/>
          <w:bCs/>
        </w:rPr>
        <w:t>expression culturelle comme le facteur dynamique de la constitution et de la transformation des communautés</w:t>
      </w:r>
      <w:r w:rsidRPr="00937052">
        <w:rPr>
          <w:rFonts w:ascii="Times New Roman" w:hAnsi="Times New Roman"/>
        </w:rPr>
        <w:t>, sans établir de hiérarchie entre ces formes d’expression – comme celle qui oppose le matériel au spirituel – ou de conditions apriori d’</w:t>
      </w:r>
      <w:r w:rsidRPr="00937052">
        <w:rPr>
          <w:rFonts w:ascii="Times New Roman" w:hAnsi="Times New Roman"/>
          <w:lang w:val="es-ES_tradnl"/>
        </w:rPr>
        <w:t>efficacit</w:t>
      </w:r>
      <w:r w:rsidRPr="00937052">
        <w:rPr>
          <w:rFonts w:ascii="Times New Roman" w:hAnsi="Times New Roman"/>
        </w:rPr>
        <w:t xml:space="preserve">é – comme l’encodage de l’idéologique dans des appareils et des dispositifs, pour ne citer que des exemples connus. Elle délaisse aussi des approches qui visent des objets inertes - ou plutôt des approches qui rendent inertes des objets qui ont été actifs socialement et culturellement. Il s’agit au contraire d’approcher chaque objet comme un témoin des médiations dont il procède et des médiations qu’ils opèrent, d'analyser ses conditions de production et d'aparaître en tant que phénomène et de quel autre objet ou phénomène il est lui-même la condition de production ou d'apparaître. </w:t>
      </w:r>
      <w:r w:rsidRPr="00937052">
        <w:rPr>
          <w:rFonts w:ascii="Times New Roman" w:hAnsi="Times New Roman"/>
          <w:b/>
          <w:bCs/>
        </w:rPr>
        <w:t xml:space="preserve">Bref, d’envisager les objets sous l’angle de leur « médialité ». </w:t>
      </w:r>
    </w:p>
    <w:p w14:paraId="4783413F" w14:textId="04AE4738" w:rsidR="00AF79FC" w:rsidRPr="00937052" w:rsidRDefault="00AF79FC">
      <w:pPr>
        <w:rPr>
          <w:rFonts w:eastAsia="Times New Roman"/>
          <w:color w:val="000000"/>
          <w:u w:color="000000"/>
          <w:lang w:val="fr-FR"/>
        </w:rPr>
      </w:pPr>
      <w:r w:rsidRPr="00937052">
        <w:rPr>
          <w:rFonts w:eastAsia="Times New Roman"/>
        </w:rPr>
        <w:br w:type="page"/>
      </w:r>
    </w:p>
    <w:p w14:paraId="116AF36B" w14:textId="77777777" w:rsidR="00220B0E" w:rsidRPr="00937052" w:rsidRDefault="007B3C01">
      <w:pPr>
        <w:pStyle w:val="ListParagraph"/>
        <w:numPr>
          <w:ilvl w:val="1"/>
          <w:numId w:val="2"/>
        </w:numPr>
        <w:spacing w:line="360" w:lineRule="auto"/>
        <w:jc w:val="both"/>
        <w:rPr>
          <w:rFonts w:ascii="Times New Roman" w:eastAsia="Times New Roman" w:hAnsi="Times New Roman" w:cs="Times New Roman"/>
          <w:b/>
          <w:bCs/>
        </w:rPr>
      </w:pPr>
      <w:r w:rsidRPr="00937052">
        <w:rPr>
          <w:rFonts w:ascii="Times New Roman" w:hAnsi="Times New Roman"/>
          <w:b/>
          <w:bCs/>
        </w:rPr>
        <w:lastRenderedPageBreak/>
        <w:t>Médialité et expression culturelle</w:t>
      </w:r>
    </w:p>
    <w:p w14:paraId="4F090811" w14:textId="77777777" w:rsidR="00220B0E" w:rsidRPr="00937052" w:rsidRDefault="00220B0E">
      <w:pPr>
        <w:pStyle w:val="CorpsA"/>
        <w:spacing w:line="360" w:lineRule="auto"/>
        <w:jc w:val="both"/>
        <w:rPr>
          <w:rFonts w:ascii="Times New Roman" w:eastAsia="Times New Roman" w:hAnsi="Times New Roman" w:cs="Times New Roman"/>
        </w:rPr>
      </w:pPr>
    </w:p>
    <w:p w14:paraId="288756DC"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Comment définir cette et ces médialités ? tout d’abord le choix du terme même de « médialité » implique que l’on se dégage d’une attention limitée aux médias ou aux mé</w:t>
      </w:r>
      <w:r w:rsidRPr="00937052">
        <w:rPr>
          <w:rFonts w:ascii="Times New Roman" w:hAnsi="Times New Roman"/>
          <w:lang w:val="es-ES_tradnl"/>
        </w:rPr>
        <w:t>diums, que l</w:t>
      </w:r>
      <w:r w:rsidRPr="00937052">
        <w:rPr>
          <w:rFonts w:ascii="Times New Roman" w:hAnsi="Times New Roman"/>
        </w:rPr>
        <w:t>’on range sous la catégorie de médias les mass-mé</w:t>
      </w:r>
      <w:r w:rsidRPr="00937052">
        <w:rPr>
          <w:rFonts w:ascii="Times New Roman" w:hAnsi="Times New Roman"/>
          <w:lang w:val="pt-PT"/>
        </w:rPr>
        <w:t>dias de l</w:t>
      </w:r>
      <w:r w:rsidRPr="00937052">
        <w:rPr>
          <w:rFonts w:ascii="Times New Roman" w:hAnsi="Times New Roman"/>
        </w:rPr>
        <w:t xml:space="preserve">’information et du divertissement (journaux, cinéma, radio, télévision) ou les médiums de l’art distingués par leur technique, leur matériau ou les institutions qui les consacrent – qu’elles soient universitaires, politiques, publiques ou privées. </w:t>
      </w:r>
    </w:p>
    <w:p w14:paraId="6B1BF1DD" w14:textId="77777777" w:rsidR="00220B0E" w:rsidRPr="00937052" w:rsidRDefault="00220B0E">
      <w:pPr>
        <w:pStyle w:val="CorpsA"/>
        <w:spacing w:line="360" w:lineRule="auto"/>
        <w:jc w:val="both"/>
        <w:rPr>
          <w:rFonts w:ascii="Times New Roman" w:eastAsia="Times New Roman" w:hAnsi="Times New Roman" w:cs="Times New Roman"/>
        </w:rPr>
      </w:pPr>
    </w:p>
    <w:p w14:paraId="2A1A911D"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lang w:val="es-ES_tradnl"/>
        </w:rPr>
        <w:t>Certes, la m</w:t>
      </w:r>
      <w:r w:rsidRPr="00937052">
        <w:rPr>
          <w:rFonts w:ascii="Times New Roman" w:hAnsi="Times New Roman"/>
        </w:rPr>
        <w:t xml:space="preserve">édialité appartient aux médias et aux médiums, en tant qu’ils sont des moyens de communication et de transmission, des supports d’expression dont ils déterminent les formes ou encore des surfaces d’inscription ou des modes d’objectivisation, constamment renouvelées, en dialogue ou en concurrence les uns avec les autres. Mais la médialité peut tout à fait caractériser autre chose : il y a une médialité de « la nuit » par exemple, comme le suggère Will Straw, qui co-dirige notre dernier numéro à </w:t>
      </w:r>
      <w:r w:rsidRPr="00937052">
        <w:rPr>
          <w:rFonts w:ascii="Times New Roman" w:hAnsi="Times New Roman"/>
          <w:lang w:val="es-ES_tradnl"/>
        </w:rPr>
        <w:t>para</w:t>
      </w:r>
      <w:r w:rsidRPr="00937052">
        <w:rPr>
          <w:rFonts w:ascii="Times New Roman" w:hAnsi="Times New Roman"/>
        </w:rPr>
        <w:t>ître cet automne et intitulé « Habiter (la nuit) ». Pour lui, « la médialité au sens large renvoie aux modes d’objectivation, de transmission et de circulation de l’expression culturelle sous toutes ses formes. Elle peut donc désigner tout autant des objets et des machines que des formations discursives ou des formes de sociabilité ». La nuit peut donc ê</w:t>
      </w:r>
      <w:r w:rsidRPr="00937052">
        <w:rPr>
          <w:rFonts w:ascii="Times New Roman" w:hAnsi="Times New Roman"/>
          <w:lang w:val="it-IT"/>
        </w:rPr>
        <w:t>tre dite m</w:t>
      </w:r>
      <w:r w:rsidRPr="00937052">
        <w:rPr>
          <w:rFonts w:ascii="Times New Roman" w:hAnsi="Times New Roman"/>
        </w:rPr>
        <w:t>édiale, en autant qu’elle donne lieu à des « formes » d’expression littéraire, cinématographique, musicale qui fixent un certain type d’expé</w:t>
      </w:r>
      <w:r w:rsidRPr="00937052">
        <w:rPr>
          <w:rFonts w:ascii="Times New Roman" w:hAnsi="Times New Roman"/>
          <w:lang w:val="fr-CA"/>
        </w:rPr>
        <w:t xml:space="preserve">rience </w:t>
      </w:r>
      <w:r w:rsidRPr="00937052">
        <w:rPr>
          <w:rFonts w:ascii="Times New Roman" w:hAnsi="Times New Roman"/>
        </w:rPr>
        <w:t>–</w:t>
      </w:r>
      <w:r w:rsidRPr="00937052">
        <w:rPr>
          <w:rFonts w:ascii="Times New Roman" w:hAnsi="Times New Roman"/>
          <w:lang w:val="it-IT"/>
        </w:rPr>
        <w:t xml:space="preserve"> affective, cognitive </w:t>
      </w:r>
      <w:r w:rsidRPr="00937052">
        <w:rPr>
          <w:rFonts w:ascii="Times New Roman" w:hAnsi="Times New Roman"/>
        </w:rPr>
        <w:t>– en rapport avec un certain de milieu – urbain ou rural – et de conditions économiques et sociales ; mais aussi qu’</w:t>
      </w:r>
      <w:r w:rsidRPr="00937052">
        <w:rPr>
          <w:rFonts w:ascii="Times New Roman" w:hAnsi="Times New Roman"/>
          <w:lang w:val="it-IT"/>
        </w:rPr>
        <w:t>elle offre</w:t>
      </w:r>
      <w:r w:rsidRPr="00937052">
        <w:rPr>
          <w:rFonts w:ascii="Times New Roman" w:hAnsi="Times New Roman"/>
        </w:rPr>
        <w:t xml:space="preserve"> des cadres de programmation d’activités et un temps de sociabilité distincte de ce qui a lieu en journée</w:t>
      </w:r>
      <w:r w:rsidRPr="00937052">
        <w:rPr>
          <w:rFonts w:ascii="Times New Roman" w:hAnsi="Times New Roman"/>
          <w:lang w:val="ru-RU"/>
        </w:rPr>
        <w:t>. Considérer la médialité de la nuit permet de faire dialoguer les travaux des sciences sociales et des sciences humaines qui portent sur la nuit comme forme, figure, temps, espace, etc.</w:t>
      </w:r>
    </w:p>
    <w:p w14:paraId="583DD9AE" w14:textId="77777777" w:rsidR="00220B0E" w:rsidRPr="00937052" w:rsidRDefault="00220B0E">
      <w:pPr>
        <w:pStyle w:val="CorpsA"/>
        <w:spacing w:line="360" w:lineRule="auto"/>
        <w:jc w:val="both"/>
        <w:rPr>
          <w:rFonts w:ascii="Times New Roman" w:eastAsia="Times New Roman" w:hAnsi="Times New Roman" w:cs="Times New Roman"/>
        </w:rPr>
      </w:pPr>
    </w:p>
    <w:p w14:paraId="57D4C160"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À partir de ces prémisses, on peut, comme le fait brillamment Éric Méchoulan, comprendre les études de cas comme autant d’exercices entrant dans une « </w:t>
      </w:r>
      <w:r w:rsidRPr="00937052">
        <w:rPr>
          <w:rFonts w:ascii="Times New Roman" w:hAnsi="Times New Roman"/>
          <w:lang w:val="nl-NL"/>
        </w:rPr>
        <w:t>herm</w:t>
      </w:r>
      <w:r w:rsidRPr="00937052">
        <w:rPr>
          <w:rFonts w:ascii="Times New Roman" w:hAnsi="Times New Roman"/>
        </w:rPr>
        <w:t xml:space="preserve">éneutique des supports » de cette objectivisation, transmission et circulation de l’expression culturelle. L’analyse peut aussi isoler des opérateurs particuliers de traduction, conversion, mutation :  </w:t>
      </w:r>
      <w:r w:rsidRPr="00937052">
        <w:rPr>
          <w:rFonts w:ascii="Times New Roman" w:hAnsi="Times New Roman"/>
        </w:rPr>
        <w:lastRenderedPageBreak/>
        <w:t>un opérateur de distanciation (un simple socle dans une galerie d’art) ou au contraire un opérateur d’immersion (un simple agrandissement photographique qui détruit le cadre – et l’autonomie de l’image -) </w:t>
      </w:r>
      <w:r w:rsidRPr="00937052">
        <w:rPr>
          <w:rFonts w:ascii="Times New Roman" w:hAnsi="Times New Roman"/>
          <w:lang w:val="it-IT"/>
        </w:rPr>
        <w:t>; un op</w:t>
      </w:r>
      <w:r w:rsidRPr="00937052">
        <w:rPr>
          <w:rFonts w:ascii="Times New Roman" w:hAnsi="Times New Roman"/>
        </w:rPr>
        <w:t>érateur de synchronisation ou de désynchronisation (la mesure) ; des opérateurs de consistance qui font ou défont des ensembles hétérogènes, créent de la compossibilité pour former un paysage, une ville, une ambiance, par un jeu de contrastes, des pôles de tensions, des zones de passage ou d’accumulation </w:t>
      </w:r>
      <w:r w:rsidRPr="00937052">
        <w:rPr>
          <w:rFonts w:ascii="Times New Roman" w:hAnsi="Times New Roman"/>
          <w:lang w:val="it-IT"/>
        </w:rPr>
        <w:t>; un op</w:t>
      </w:r>
      <w:r w:rsidRPr="00937052">
        <w:rPr>
          <w:rFonts w:ascii="Times New Roman" w:hAnsi="Times New Roman"/>
        </w:rPr>
        <w:t>érateur de permanence et de stabilité ou d’impermanence et d’instabilité comme le spectre ou la matrice qui hantent les choses, les techniques, les pratiques </w:t>
      </w:r>
      <w:r w:rsidRPr="00937052">
        <w:rPr>
          <w:rFonts w:ascii="Times New Roman" w:hAnsi="Times New Roman"/>
          <w:lang w:val="it-IT"/>
        </w:rPr>
        <w:t>; un op</w:t>
      </w:r>
      <w:r w:rsidRPr="00937052">
        <w:rPr>
          <w:rFonts w:ascii="Times New Roman" w:hAnsi="Times New Roman"/>
        </w:rPr>
        <w:t>érateur de mimesis ou de ressemblance, par exemple l’abattoir que Johanne Lamoureux identifie comme la « scénographie machinique » du travail à la chaine et qui n’aura pas é</w:t>
      </w:r>
      <w:r w:rsidRPr="00937052">
        <w:rPr>
          <w:rFonts w:ascii="Times New Roman" w:hAnsi="Times New Roman"/>
          <w:lang w:val="nl-NL"/>
        </w:rPr>
        <w:t>chapp</w:t>
      </w:r>
      <w:r w:rsidRPr="00937052">
        <w:rPr>
          <w:rFonts w:ascii="Times New Roman" w:hAnsi="Times New Roman"/>
        </w:rPr>
        <w:t xml:space="preserve">é à </w:t>
      </w:r>
      <w:r w:rsidRPr="00937052">
        <w:rPr>
          <w:rFonts w:ascii="Times New Roman" w:hAnsi="Times New Roman"/>
          <w:lang w:val="de-DE"/>
        </w:rPr>
        <w:t>Sinclair, Brecht, Eisenstein, Chaplin ou Herg</w:t>
      </w:r>
      <w:r w:rsidRPr="00937052">
        <w:rPr>
          <w:rFonts w:ascii="Times New Roman" w:hAnsi="Times New Roman"/>
        </w:rPr>
        <w:t xml:space="preserve">é ; ou encore des opérateurs de tierceté (ce que j’ai proposé dans le numéro 19) nécessaires à l’écoute, la mémoire, la solidarité. </w:t>
      </w:r>
    </w:p>
    <w:p w14:paraId="180B5F90" w14:textId="138E6444" w:rsidR="00AF79FC" w:rsidRPr="00937052" w:rsidRDefault="00AF79FC">
      <w:pPr>
        <w:rPr>
          <w:rFonts w:eastAsia="Times New Roman"/>
          <w:color w:val="000000"/>
          <w:u w:color="000000"/>
          <w:lang w:val="fr-FR"/>
        </w:rPr>
      </w:pPr>
    </w:p>
    <w:p w14:paraId="075DC912" w14:textId="77777777" w:rsidR="00220B0E" w:rsidRPr="00937052" w:rsidRDefault="007B3C01">
      <w:pPr>
        <w:pStyle w:val="ListParagraph"/>
        <w:numPr>
          <w:ilvl w:val="1"/>
          <w:numId w:val="2"/>
        </w:numPr>
        <w:spacing w:line="360" w:lineRule="auto"/>
        <w:jc w:val="both"/>
        <w:rPr>
          <w:rFonts w:ascii="Times New Roman" w:eastAsia="Times New Roman" w:hAnsi="Times New Roman" w:cs="Times New Roman"/>
          <w:b/>
          <w:bCs/>
        </w:rPr>
      </w:pPr>
      <w:r w:rsidRPr="00937052">
        <w:rPr>
          <w:rFonts w:ascii="Times New Roman" w:hAnsi="Times New Roman"/>
          <w:b/>
          <w:bCs/>
        </w:rPr>
        <w:t>Pratiques sociales et productions symboliques</w:t>
      </w:r>
    </w:p>
    <w:p w14:paraId="33F75C08" w14:textId="77777777" w:rsidR="00220B0E" w:rsidRPr="00937052" w:rsidRDefault="00220B0E">
      <w:pPr>
        <w:pStyle w:val="CorpsA"/>
        <w:spacing w:line="360" w:lineRule="auto"/>
        <w:jc w:val="both"/>
        <w:rPr>
          <w:rFonts w:ascii="Times New Roman" w:eastAsia="Times New Roman" w:hAnsi="Times New Roman" w:cs="Times New Roman"/>
        </w:rPr>
      </w:pPr>
    </w:p>
    <w:p w14:paraId="339263FE"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La production symbolique est donc envisagée - de manière indissociable – avec les dynamiques de transmission, de régulation ou de mutation de ses contenus (savoirs, imaginaires, langages) ; ses "supports" - pour reprendre l'idée d'Eric, lui permettent de hanter le monde social (s'évanouir et résurgir ou traverser et cristaliser) selon diverses dynamiques (dont le remix dont nous parlions vendredi grâce à Jurgen Müller est un exemple). La production symbolique génè</w:t>
      </w:r>
      <w:r w:rsidRPr="00937052">
        <w:rPr>
          <w:rFonts w:ascii="Times New Roman" w:hAnsi="Times New Roman"/>
          <w:lang w:val="es-ES_tradnl"/>
        </w:rPr>
        <w:t>re elle-m</w:t>
      </w:r>
      <w:r w:rsidRPr="00937052">
        <w:rPr>
          <w:rFonts w:ascii="Times New Roman" w:hAnsi="Times New Roman"/>
        </w:rPr>
        <w:t>ême des pratiques sociales particulières, transforme l’environnement à travers ses propres circuits d’échange et de consommation qui supposent des institutions, des techniques, des matériaux en évolution constante.</w:t>
      </w:r>
    </w:p>
    <w:p w14:paraId="1212CCE3" w14:textId="77777777" w:rsidR="00220B0E" w:rsidRPr="00937052" w:rsidRDefault="00220B0E">
      <w:pPr>
        <w:pStyle w:val="CorpsA"/>
        <w:spacing w:line="360" w:lineRule="auto"/>
        <w:jc w:val="both"/>
        <w:rPr>
          <w:rFonts w:ascii="Times New Roman" w:eastAsia="Times New Roman" w:hAnsi="Times New Roman" w:cs="Times New Roman"/>
        </w:rPr>
      </w:pPr>
    </w:p>
    <w:p w14:paraId="764ACA1F"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 xml:space="preserve">C’est aussi à travers ses productions symboliques qu’une société prend conscience des formes de pouvoir ou d’agentivité qui la caractérisent. Une des choses qui importe aux auteurs de la revue est donc d’identifier des pratiques sociales – d’où </w:t>
      </w:r>
      <w:r w:rsidRPr="00937052">
        <w:rPr>
          <w:rFonts w:ascii="Times New Roman" w:hAnsi="Times New Roman"/>
          <w:lang w:val="es-ES_tradnl"/>
        </w:rPr>
        <w:t>le dialogue que bon nombre d</w:t>
      </w:r>
      <w:r w:rsidRPr="00937052">
        <w:rPr>
          <w:rFonts w:ascii="Times New Roman" w:hAnsi="Times New Roman"/>
        </w:rPr>
        <w:t>’entre eux entretiennent avec les sciences sociales – en tant que ces pratiques convoquent et impliquent</w:t>
      </w:r>
      <w:r w:rsidRPr="00937052">
        <w:rPr>
          <w:rFonts w:ascii="Times New Roman" w:hAnsi="Times New Roman"/>
          <w:i/>
          <w:iCs/>
        </w:rPr>
        <w:t xml:space="preserve"> une production symbolique quelle que soit sa forme (textes, images,</w:t>
      </w:r>
      <w:r w:rsidRPr="00937052">
        <w:rPr>
          <w:rFonts w:ascii="Times New Roman" w:hAnsi="Times New Roman"/>
          <w:i/>
          <w:iCs/>
          <w:lang w:val="it-IT"/>
        </w:rPr>
        <w:t xml:space="preserve"> paroles, </w:t>
      </w:r>
      <w:r w:rsidRPr="00937052">
        <w:rPr>
          <w:rFonts w:ascii="Times New Roman" w:hAnsi="Times New Roman"/>
          <w:i/>
          <w:iCs/>
        </w:rPr>
        <w:t>musique, objets, techniques, environnements, rites).</w:t>
      </w:r>
      <w:r w:rsidRPr="00937052">
        <w:rPr>
          <w:rFonts w:ascii="Times New Roman" w:hAnsi="Times New Roman"/>
        </w:rPr>
        <w:t xml:space="preserve"> « </w:t>
      </w:r>
      <w:r w:rsidRPr="00937052">
        <w:rPr>
          <w:rFonts w:ascii="Times New Roman" w:hAnsi="Times New Roman"/>
          <w:lang w:val="it-IT"/>
        </w:rPr>
        <w:t>La sociabilit</w:t>
      </w:r>
      <w:r w:rsidRPr="00937052">
        <w:rPr>
          <w:rFonts w:ascii="Times New Roman" w:hAnsi="Times New Roman"/>
        </w:rPr>
        <w:t xml:space="preserve">é », « le contrôle », le « plaisir », « la justice », « la reconnaissance », la « résistance », la </w:t>
      </w:r>
      <w:r w:rsidRPr="00937052">
        <w:rPr>
          <w:rFonts w:ascii="Times New Roman" w:hAnsi="Times New Roman"/>
        </w:rPr>
        <w:lastRenderedPageBreak/>
        <w:t>« compré</w:t>
      </w:r>
      <w:r w:rsidRPr="00937052">
        <w:rPr>
          <w:rFonts w:ascii="Times New Roman" w:hAnsi="Times New Roman"/>
          <w:lang w:val="de-DE"/>
        </w:rPr>
        <w:t>hension</w:t>
      </w:r>
      <w:r w:rsidRPr="00937052">
        <w:rPr>
          <w:rFonts w:ascii="Times New Roman" w:hAnsi="Times New Roman"/>
        </w:rPr>
        <w:t> », « la mémoire », « la critique », « le soin » sont autant de pratiques sociales envisagées, au sein de la revue, en relation avec une production symbolique qui la rend possible, l’objective ou l’</w:t>
      </w:r>
      <w:r w:rsidRPr="00937052">
        <w:rPr>
          <w:rFonts w:ascii="Times New Roman" w:hAnsi="Times New Roman"/>
          <w:lang w:val="es-ES_tradnl"/>
        </w:rPr>
        <w:t xml:space="preserve">actualise. </w:t>
      </w:r>
    </w:p>
    <w:p w14:paraId="2E39072A" w14:textId="77777777" w:rsidR="00220B0E" w:rsidRPr="00937052" w:rsidRDefault="00220B0E">
      <w:pPr>
        <w:pStyle w:val="CorpsA"/>
        <w:spacing w:line="360" w:lineRule="auto"/>
        <w:jc w:val="both"/>
        <w:rPr>
          <w:rFonts w:ascii="Times New Roman" w:eastAsia="Times New Roman" w:hAnsi="Times New Roman" w:cs="Times New Roman"/>
        </w:rPr>
      </w:pPr>
    </w:p>
    <w:p w14:paraId="5CD4B27E"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Cet intérêt pour les pratiques sociales suppose un geste exploratoire, pour lequel le thème des dossiers constitue un incitatif : la sé</w:t>
      </w:r>
      <w:r w:rsidRPr="00937052">
        <w:rPr>
          <w:rFonts w:ascii="Times New Roman" w:hAnsi="Times New Roman"/>
          <w:lang w:val="it-IT"/>
        </w:rPr>
        <w:t>rie illimit</w:t>
      </w:r>
      <w:r w:rsidRPr="00937052">
        <w:rPr>
          <w:rFonts w:ascii="Times New Roman" w:hAnsi="Times New Roman"/>
        </w:rPr>
        <w:t>ée de « </w:t>
      </w:r>
      <w:r w:rsidRPr="00937052">
        <w:rPr>
          <w:rFonts w:ascii="Times New Roman" w:hAnsi="Times New Roman"/>
          <w:lang w:val="nl-NL"/>
        </w:rPr>
        <w:t>verbes</w:t>
      </w:r>
      <w:r w:rsidRPr="00937052">
        <w:rPr>
          <w:rFonts w:ascii="Times New Roman" w:hAnsi="Times New Roman"/>
        </w:rPr>
        <w:t> »</w:t>
      </w:r>
      <w:r w:rsidRPr="00937052">
        <w:rPr>
          <w:rFonts w:ascii="Times New Roman" w:hAnsi="Times New Roman"/>
          <w:lang w:val="fr-CA"/>
        </w:rPr>
        <w:t xml:space="preserve"> correspond </w:t>
      </w:r>
      <w:r w:rsidRPr="00937052">
        <w:rPr>
          <w:rFonts w:ascii="Times New Roman" w:hAnsi="Times New Roman"/>
        </w:rPr>
        <w:t>à l’idée que les communautés Cet intérêt pour les pratiques sociales suppose un geste exploratoire, pour lequel le thème des dossiers constitue un incitatif : la sé</w:t>
      </w:r>
      <w:r w:rsidRPr="00937052">
        <w:rPr>
          <w:rFonts w:ascii="Times New Roman" w:hAnsi="Times New Roman"/>
          <w:lang w:val="it-IT"/>
        </w:rPr>
        <w:t>rie illimit</w:t>
      </w:r>
      <w:r w:rsidRPr="00937052">
        <w:rPr>
          <w:rFonts w:ascii="Times New Roman" w:hAnsi="Times New Roman"/>
        </w:rPr>
        <w:t>ée de « </w:t>
      </w:r>
      <w:r w:rsidRPr="00937052">
        <w:rPr>
          <w:rFonts w:ascii="Times New Roman" w:hAnsi="Times New Roman"/>
          <w:lang w:val="nl-NL"/>
        </w:rPr>
        <w:t>verbes</w:t>
      </w:r>
      <w:r w:rsidRPr="00937052">
        <w:rPr>
          <w:rFonts w:ascii="Times New Roman" w:hAnsi="Times New Roman"/>
        </w:rPr>
        <w:t> »</w:t>
      </w:r>
      <w:r w:rsidRPr="00937052">
        <w:rPr>
          <w:rFonts w:ascii="Times New Roman" w:hAnsi="Times New Roman"/>
          <w:lang w:val="fr-CA"/>
        </w:rPr>
        <w:t xml:space="preserve"> correspond </w:t>
      </w:r>
      <w:r w:rsidRPr="00937052">
        <w:rPr>
          <w:rFonts w:ascii="Times New Roman" w:hAnsi="Times New Roman"/>
        </w:rPr>
        <w:t>à l’idée que les communautés développent un réservoir lui-mê</w:t>
      </w:r>
      <w:r w:rsidRPr="00937052">
        <w:rPr>
          <w:rFonts w:ascii="Times New Roman" w:hAnsi="Times New Roman"/>
          <w:lang w:val="it-IT"/>
        </w:rPr>
        <w:t>me illimit</w:t>
      </w:r>
      <w:r w:rsidRPr="00937052">
        <w:rPr>
          <w:rFonts w:ascii="Times New Roman" w:hAnsi="Times New Roman"/>
        </w:rPr>
        <w:t xml:space="preserve">é </w:t>
      </w:r>
      <w:r w:rsidRPr="00937052">
        <w:rPr>
          <w:rFonts w:ascii="Times New Roman" w:hAnsi="Times New Roman"/>
          <w:lang w:val="de-DE"/>
        </w:rPr>
        <w:t>de gestes</w:t>
      </w:r>
      <w:r w:rsidRPr="00937052">
        <w:rPr>
          <w:rFonts w:ascii="Times New Roman" w:hAnsi="Times New Roman"/>
        </w:rPr>
        <w:t> ordinaires impliquant des « médialités » </w:t>
      </w:r>
      <w:r w:rsidRPr="00937052">
        <w:rPr>
          <w:rFonts w:ascii="Times New Roman" w:hAnsi="Times New Roman"/>
          <w:lang w:val="de-DE"/>
        </w:rPr>
        <w:t xml:space="preserve">:  </w:t>
      </w:r>
      <w:r w:rsidRPr="00937052">
        <w:rPr>
          <w:rFonts w:ascii="Times New Roman" w:hAnsi="Times New Roman"/>
        </w:rPr>
        <w:t>« </w:t>
      </w:r>
      <w:r w:rsidRPr="00937052">
        <w:rPr>
          <w:rFonts w:ascii="Times New Roman" w:hAnsi="Times New Roman"/>
          <w:lang w:val="es-ES_tradnl"/>
        </w:rPr>
        <w:t>aimer</w:t>
      </w:r>
      <w:r w:rsidRPr="00937052">
        <w:rPr>
          <w:rFonts w:ascii="Times New Roman" w:hAnsi="Times New Roman"/>
        </w:rPr>
        <w:t> », « envisager », « habiter », « </w:t>
      </w:r>
      <w:r w:rsidRPr="00937052">
        <w:rPr>
          <w:rFonts w:ascii="Times New Roman" w:hAnsi="Times New Roman"/>
          <w:lang w:val="fr-CA"/>
        </w:rPr>
        <w:t>inclure</w:t>
      </w:r>
      <w:r w:rsidRPr="00937052">
        <w:rPr>
          <w:rFonts w:ascii="Times New Roman" w:hAnsi="Times New Roman"/>
        </w:rPr>
        <w:t> », « </w:t>
      </w:r>
      <w:r w:rsidRPr="00937052">
        <w:rPr>
          <w:rFonts w:ascii="Times New Roman" w:hAnsi="Times New Roman"/>
          <w:lang w:val="it-IT"/>
        </w:rPr>
        <w:t>traverser</w:t>
      </w:r>
      <w:r w:rsidRPr="00937052">
        <w:rPr>
          <w:rFonts w:ascii="Times New Roman" w:hAnsi="Times New Roman"/>
        </w:rPr>
        <w:t> », « </w:t>
      </w:r>
      <w:r w:rsidRPr="00937052">
        <w:rPr>
          <w:rFonts w:ascii="Times New Roman" w:hAnsi="Times New Roman"/>
          <w:lang w:val="es-ES_tradnl"/>
        </w:rPr>
        <w:t>animer</w:t>
      </w:r>
      <w:r w:rsidRPr="00937052">
        <w:rPr>
          <w:rFonts w:ascii="Times New Roman" w:hAnsi="Times New Roman"/>
        </w:rPr>
        <w:t> », « exposer »,  …. , tout aussi bien que de gestes considérés comme constituants les fondamentaux de l’expression culturelle : « raconter », « transmettre », « reproduire », « bâtir ». développent un réservoir lui-mê</w:t>
      </w:r>
      <w:r w:rsidRPr="00937052">
        <w:rPr>
          <w:rFonts w:ascii="Times New Roman" w:hAnsi="Times New Roman"/>
          <w:lang w:val="it-IT"/>
        </w:rPr>
        <w:t>me illimit</w:t>
      </w:r>
      <w:r w:rsidRPr="00937052">
        <w:rPr>
          <w:rFonts w:ascii="Times New Roman" w:hAnsi="Times New Roman"/>
        </w:rPr>
        <w:t xml:space="preserve">é </w:t>
      </w:r>
      <w:r w:rsidRPr="00937052">
        <w:rPr>
          <w:rFonts w:ascii="Times New Roman" w:hAnsi="Times New Roman"/>
          <w:lang w:val="de-DE"/>
        </w:rPr>
        <w:t>de gestes</w:t>
      </w:r>
      <w:r w:rsidRPr="00937052">
        <w:rPr>
          <w:rFonts w:ascii="Times New Roman" w:hAnsi="Times New Roman"/>
        </w:rPr>
        <w:t> ordinaires impliquant des « médialités » </w:t>
      </w:r>
      <w:r w:rsidRPr="00937052">
        <w:rPr>
          <w:rFonts w:ascii="Times New Roman" w:hAnsi="Times New Roman"/>
          <w:lang w:val="de-DE"/>
        </w:rPr>
        <w:t xml:space="preserve">:  </w:t>
      </w:r>
      <w:r w:rsidRPr="00937052">
        <w:rPr>
          <w:rFonts w:ascii="Times New Roman" w:hAnsi="Times New Roman"/>
        </w:rPr>
        <w:t>« </w:t>
      </w:r>
      <w:r w:rsidRPr="00937052">
        <w:rPr>
          <w:rFonts w:ascii="Times New Roman" w:hAnsi="Times New Roman"/>
          <w:lang w:val="es-ES_tradnl"/>
        </w:rPr>
        <w:t>aimer</w:t>
      </w:r>
      <w:r w:rsidRPr="00937052">
        <w:rPr>
          <w:rFonts w:ascii="Times New Roman" w:hAnsi="Times New Roman"/>
        </w:rPr>
        <w:t> », « envisager », « habiter », « </w:t>
      </w:r>
      <w:r w:rsidRPr="00937052">
        <w:rPr>
          <w:rFonts w:ascii="Times New Roman" w:hAnsi="Times New Roman"/>
          <w:lang w:val="fr-CA"/>
        </w:rPr>
        <w:t>inclure</w:t>
      </w:r>
      <w:r w:rsidRPr="00937052">
        <w:rPr>
          <w:rFonts w:ascii="Times New Roman" w:hAnsi="Times New Roman"/>
        </w:rPr>
        <w:t> », « </w:t>
      </w:r>
      <w:r w:rsidRPr="00937052">
        <w:rPr>
          <w:rFonts w:ascii="Times New Roman" w:hAnsi="Times New Roman"/>
          <w:lang w:val="it-IT"/>
        </w:rPr>
        <w:t>traverser</w:t>
      </w:r>
      <w:r w:rsidRPr="00937052">
        <w:rPr>
          <w:rFonts w:ascii="Times New Roman" w:hAnsi="Times New Roman"/>
        </w:rPr>
        <w:t> », « </w:t>
      </w:r>
      <w:r w:rsidRPr="00937052">
        <w:rPr>
          <w:rFonts w:ascii="Times New Roman" w:hAnsi="Times New Roman"/>
          <w:lang w:val="es-ES_tradnl"/>
        </w:rPr>
        <w:t>animer</w:t>
      </w:r>
      <w:r w:rsidRPr="00937052">
        <w:rPr>
          <w:rFonts w:ascii="Times New Roman" w:hAnsi="Times New Roman"/>
        </w:rPr>
        <w:t xml:space="preserve"> », « exposer »,  …. , tout aussi bien que de gestes considérés comme constituants les fondamentaux de l’expression culturelle : « raconter », « transmettre », « reproduire », « bâtir ». </w:t>
      </w:r>
    </w:p>
    <w:p w14:paraId="66D07C9D" w14:textId="77777777" w:rsidR="00220B0E" w:rsidRPr="00937052" w:rsidRDefault="00220B0E">
      <w:pPr>
        <w:pStyle w:val="CorpsA"/>
        <w:spacing w:line="360" w:lineRule="auto"/>
        <w:jc w:val="both"/>
        <w:rPr>
          <w:rFonts w:ascii="Times New Roman" w:eastAsia="Times New Roman" w:hAnsi="Times New Roman" w:cs="Times New Roman"/>
        </w:rPr>
      </w:pPr>
    </w:p>
    <w:p w14:paraId="67498200"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Mais parler de « communauté » comme source de toutes ces opérations est dangereux, mê</w:t>
      </w:r>
      <w:r w:rsidRPr="00937052">
        <w:rPr>
          <w:rFonts w:ascii="Times New Roman" w:hAnsi="Times New Roman"/>
          <w:lang w:val="it-IT"/>
        </w:rPr>
        <w:t xml:space="preserve">me si </w:t>
      </w:r>
      <w:r w:rsidRPr="00937052">
        <w:rPr>
          <w:rFonts w:ascii="Times New Roman" w:hAnsi="Times New Roman"/>
        </w:rPr>
        <w:t xml:space="preserve">ces opérations ont une indéniable dimension collective. Les études de cas – mais aussi les dossiers d’artistes invités et la recherche-création que la revue accueille de plus en plus - nous ramènent donc aussi à </w:t>
      </w:r>
      <w:r w:rsidRPr="00937052">
        <w:rPr>
          <w:rFonts w:ascii="Times New Roman" w:hAnsi="Times New Roman"/>
          <w:lang w:val="it-IT"/>
        </w:rPr>
        <w:t>la consid</w:t>
      </w:r>
      <w:r w:rsidRPr="00937052">
        <w:rPr>
          <w:rFonts w:ascii="Times New Roman" w:hAnsi="Times New Roman"/>
        </w:rPr>
        <w:t>ération du rôle des « acteurs » et des « scrutateurs » : les artistes, leur</w:t>
      </w:r>
      <w:r w:rsidRPr="00937052">
        <w:rPr>
          <w:rFonts w:ascii="Times New Roman" w:hAnsi="Times New Roman"/>
          <w:lang w:val="fr-CA"/>
        </w:rPr>
        <w:t xml:space="preserve"> public </w:t>
      </w:r>
      <w:r w:rsidRPr="00937052">
        <w:rPr>
          <w:rFonts w:ascii="Times New Roman" w:hAnsi="Times New Roman"/>
        </w:rPr>
        <w:t>mais aussi les chercheurs eux-mêmes, en tant que chacun s’intéresse aux œuvres, et éprouve les effets de cet intérêt sur leur propre perception, leur propre affection, compréhension et création. C’est pourquoi, la ligne éditoriale de la revue n’écarte ni la notion d’auteur, ni la notion d’oeuvre, encore moins</w:t>
      </w:r>
      <w:r w:rsidRPr="00937052">
        <w:rPr>
          <w:rFonts w:ascii="Times New Roman" w:hAnsi="Times New Roman"/>
          <w:lang w:val="it-IT"/>
        </w:rPr>
        <w:t xml:space="preserve"> la dimension </w:t>
      </w:r>
      <w:r w:rsidRPr="00937052">
        <w:rPr>
          <w:rFonts w:ascii="Times New Roman" w:hAnsi="Times New Roman"/>
        </w:rPr>
        <w:t>subjective de l’étude de cas qui s’exprime dans l’idée – plutôt démocratique – d’accumulation de notations, d’observations, et d’attentions aux médiations, mais aussi d'écoute de sa propre sensibilité et d'études de ses propres biais de compréhension ; elle ne privilégie aucune logique ou principe de vérité qui repousse le facteur dynamisant de « l’é</w:t>
      </w:r>
      <w:r w:rsidRPr="00937052">
        <w:rPr>
          <w:rFonts w:ascii="Times New Roman" w:hAnsi="Times New Roman"/>
          <w:lang w:val="fr-CA"/>
        </w:rPr>
        <w:t>thos</w:t>
      </w:r>
      <w:r w:rsidRPr="00937052">
        <w:rPr>
          <w:rFonts w:ascii="Times New Roman" w:hAnsi="Times New Roman"/>
        </w:rPr>
        <w:t xml:space="preserve"> », du « souci », du « désir » de celui ou ceux qui (re)créent, « produisent », </w:t>
      </w:r>
      <w:r w:rsidRPr="00937052">
        <w:rPr>
          <w:rFonts w:ascii="Times New Roman" w:hAnsi="Times New Roman"/>
        </w:rPr>
        <w:lastRenderedPageBreak/>
        <w:t>s’« </w:t>
      </w:r>
      <w:r w:rsidRPr="00937052">
        <w:rPr>
          <w:rFonts w:ascii="Times New Roman" w:hAnsi="Times New Roman"/>
          <w:lang w:val="es-ES_tradnl"/>
        </w:rPr>
        <w:t>exprime</w:t>
      </w:r>
      <w:r w:rsidRPr="00937052">
        <w:rPr>
          <w:rFonts w:ascii="Times New Roman" w:hAnsi="Times New Roman"/>
        </w:rPr>
        <w:t>nt », (re)cherchent. La revue n’est donc pas le refuge du déterminisme technologique ni des grandes logiques macrosociales : le pont qu'elle tente de jeter entre les sciences sociales et les sciences humaines repose en premier lieu sur l'attention aux oeuvres, et  sur la confiance qu'on accorde à leur fonction heuristique. Enfin, Silvestra Mariniello, qui a écrit un des premiers textes fondateurs de l’école montréalaise de l’intermédialité dont la revue se réclame, é</w:t>
      </w:r>
      <w:r w:rsidRPr="00937052">
        <w:rPr>
          <w:rFonts w:ascii="Times New Roman" w:hAnsi="Times New Roman"/>
          <w:lang w:val="es-ES_tradnl"/>
        </w:rPr>
        <w:t xml:space="preserve">voque </w:t>
      </w:r>
      <w:r w:rsidRPr="00937052">
        <w:rPr>
          <w:rFonts w:ascii="Times New Roman" w:hAnsi="Times New Roman"/>
        </w:rPr>
        <w:t>aussi Michel de Certeau pour penser la relation entre le sujet et son milieu – comme co-création.</w:t>
      </w:r>
    </w:p>
    <w:p w14:paraId="0A0D3A95" w14:textId="77777777" w:rsidR="00220B0E" w:rsidRPr="00937052" w:rsidRDefault="00220B0E">
      <w:pPr>
        <w:pStyle w:val="CorpsA"/>
        <w:spacing w:line="360" w:lineRule="auto"/>
        <w:jc w:val="both"/>
        <w:rPr>
          <w:rFonts w:ascii="Times New Roman" w:eastAsia="Times New Roman" w:hAnsi="Times New Roman" w:cs="Times New Roman"/>
        </w:rPr>
      </w:pPr>
    </w:p>
    <w:p w14:paraId="388D0DEB" w14:textId="77777777" w:rsidR="00220B0E" w:rsidRPr="00937052" w:rsidRDefault="007B3C01">
      <w:pPr>
        <w:pStyle w:val="ListParagraph"/>
        <w:numPr>
          <w:ilvl w:val="0"/>
          <w:numId w:val="2"/>
        </w:numPr>
        <w:spacing w:line="360" w:lineRule="auto"/>
        <w:jc w:val="both"/>
        <w:rPr>
          <w:rFonts w:ascii="Times New Roman" w:eastAsia="Times New Roman" w:hAnsi="Times New Roman" w:cs="Times New Roman"/>
          <w:b/>
          <w:bCs/>
        </w:rPr>
      </w:pPr>
      <w:r w:rsidRPr="00937052">
        <w:rPr>
          <w:rFonts w:ascii="Times New Roman" w:hAnsi="Times New Roman"/>
          <w:b/>
          <w:bCs/>
        </w:rPr>
        <w:t>Remarques épistémologiques</w:t>
      </w:r>
    </w:p>
    <w:p w14:paraId="165BB528" w14:textId="77777777" w:rsidR="00220B0E" w:rsidRPr="00937052" w:rsidRDefault="00220B0E">
      <w:pPr>
        <w:pStyle w:val="CorpsA"/>
        <w:spacing w:line="360" w:lineRule="auto"/>
        <w:jc w:val="both"/>
        <w:rPr>
          <w:rFonts w:ascii="Times New Roman" w:eastAsia="Times New Roman" w:hAnsi="Times New Roman" w:cs="Times New Roman"/>
        </w:rPr>
      </w:pPr>
    </w:p>
    <w:p w14:paraId="57418FA1"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L’analyse des médialités permet ainsi de changer d’é</w:t>
      </w:r>
      <w:r w:rsidRPr="00937052">
        <w:rPr>
          <w:rFonts w:ascii="Times New Roman" w:hAnsi="Times New Roman"/>
          <w:lang w:val="de-DE"/>
        </w:rPr>
        <w:t>chelle</w:t>
      </w:r>
      <w:r w:rsidRPr="00937052">
        <w:rPr>
          <w:rFonts w:ascii="Times New Roman" w:hAnsi="Times New Roman"/>
        </w:rPr>
        <w:t xml:space="preserve"> : envisager chaque objet d’analyse sous l’angle des dynamiques de transmission ou bien s’attarder à </w:t>
      </w:r>
      <w:r w:rsidRPr="00937052">
        <w:rPr>
          <w:rFonts w:ascii="Times New Roman" w:hAnsi="Times New Roman"/>
          <w:lang w:val="nl-NL"/>
        </w:rPr>
        <w:t>un op</w:t>
      </w:r>
      <w:r w:rsidRPr="00937052">
        <w:rPr>
          <w:rFonts w:ascii="Times New Roman" w:hAnsi="Times New Roman"/>
        </w:rPr>
        <w:t>érateur particulier de transformation ; considérer une œuvre ou un objet singulier, ou bien ce qui traverse les œuvres au même titre que les autres artéfacts culturels et produits de la technique et de l’industrie ; faire de l’œuvre un terrain d’exploration de pratiques sociales ou bien faire des pratiques sociales les nouvelles clés de compréhension et d’</w:t>
      </w:r>
      <w:r w:rsidRPr="00937052">
        <w:rPr>
          <w:rFonts w:ascii="Times New Roman" w:hAnsi="Times New Roman"/>
          <w:lang w:val="it-IT"/>
        </w:rPr>
        <w:t>appr</w:t>
      </w:r>
      <w:r w:rsidRPr="00937052">
        <w:rPr>
          <w:rFonts w:ascii="Times New Roman" w:hAnsi="Times New Roman"/>
        </w:rPr>
        <w:t xml:space="preserve">éciation des oeuvres. </w:t>
      </w:r>
    </w:p>
    <w:p w14:paraId="092FF400" w14:textId="77777777" w:rsidR="00220B0E" w:rsidRPr="00937052" w:rsidRDefault="00220B0E">
      <w:pPr>
        <w:pStyle w:val="CorpsA"/>
        <w:spacing w:line="360" w:lineRule="auto"/>
        <w:jc w:val="both"/>
        <w:rPr>
          <w:rFonts w:ascii="Times New Roman" w:eastAsia="Times New Roman" w:hAnsi="Times New Roman" w:cs="Times New Roman"/>
        </w:rPr>
      </w:pPr>
    </w:p>
    <w:p w14:paraId="0FB055AE"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t>D’où, en premier lieu, l’acceptation d’une dé-hiérarchisation des produits de l’expression culturelle permettant une transdisciplinarité qui, comme le souhaite Sierek, consiste à « conjuguer le vaste horizon des sciences humaines et de l’anthropologie culturelle, avec la précision minutieuse de l’histoire de l’</w:t>
      </w:r>
      <w:r w:rsidRPr="00937052">
        <w:rPr>
          <w:rFonts w:ascii="Times New Roman" w:hAnsi="Times New Roman"/>
          <w:lang w:val="fr-CA"/>
        </w:rPr>
        <w:t>art ou la th</w:t>
      </w:r>
      <w:r w:rsidRPr="00937052">
        <w:rPr>
          <w:rFonts w:ascii="Times New Roman" w:hAnsi="Times New Roman"/>
        </w:rPr>
        <w:t>éorie du cinéma », auxquels nous rajouterions la science des textes et la musicologie. D’où, en second lieu, l’intérêt des études de cas qui nous permettent de découvrir toujours plus de « médialités » et de maintenir une exigence de précision, de finesse et de prudence dans l’analyse. Ne pas sauter aux grands principes explicatifs du monde comme il va, aux généralisations des effets de causalité ou d’association directes, c’est la garantie qu’offre chaque étude de cas en autant qu’elle dévoile toujours plus de complexité relationnelle et qu’elle repousse toujours davantage la découverte des « relations dé</w:t>
      </w:r>
      <w:r w:rsidRPr="00937052">
        <w:rPr>
          <w:rFonts w:ascii="Times New Roman" w:hAnsi="Times New Roman"/>
          <w:lang w:val="fr-CA"/>
        </w:rPr>
        <w:t>cisive</w:t>
      </w:r>
      <w:r w:rsidRPr="00937052">
        <w:rPr>
          <w:rFonts w:ascii="Times New Roman" w:hAnsi="Times New Roman"/>
        </w:rPr>
        <w:t>s » entre les choses</w:t>
      </w:r>
      <w:r w:rsidRPr="00937052">
        <w:rPr>
          <w:rFonts w:ascii="Times New Roman" w:hAnsi="Times New Roman"/>
          <w:lang w:val="pt-PT"/>
        </w:rPr>
        <w:t>, qu</w:t>
      </w:r>
      <w:r w:rsidRPr="00937052">
        <w:rPr>
          <w:rFonts w:ascii="Times New Roman" w:hAnsi="Times New Roman"/>
        </w:rPr>
        <w:t>’elle maintient donc aussi une forme d’opacité.</w:t>
      </w:r>
    </w:p>
    <w:p w14:paraId="7AD3B818" w14:textId="77777777" w:rsidR="00220B0E" w:rsidRPr="00937052" w:rsidRDefault="00220B0E">
      <w:pPr>
        <w:pStyle w:val="CorpsA"/>
        <w:spacing w:line="360" w:lineRule="auto"/>
        <w:jc w:val="both"/>
        <w:rPr>
          <w:rFonts w:ascii="Times New Roman" w:eastAsia="Times New Roman" w:hAnsi="Times New Roman" w:cs="Times New Roman"/>
        </w:rPr>
      </w:pPr>
    </w:p>
    <w:p w14:paraId="274A604A"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rPr>
        <w:lastRenderedPageBreak/>
        <w:t>En ce sens, la mé</w:t>
      </w:r>
      <w:r w:rsidRPr="00937052">
        <w:rPr>
          <w:rFonts w:ascii="Times New Roman" w:hAnsi="Times New Roman"/>
          <w:lang w:val="es-ES_tradnl"/>
        </w:rPr>
        <w:t>thode que la revue privil</w:t>
      </w:r>
      <w:r w:rsidRPr="00937052">
        <w:rPr>
          <w:rFonts w:ascii="Times New Roman" w:hAnsi="Times New Roman"/>
        </w:rPr>
        <w:t xml:space="preserve">égie est résolument inductive. Sa ligne éditoriale ne fait pas référence à </w:t>
      </w:r>
      <w:r w:rsidRPr="00937052">
        <w:rPr>
          <w:rFonts w:ascii="Times New Roman" w:hAnsi="Times New Roman"/>
          <w:lang w:val="fr-CA"/>
        </w:rPr>
        <w:t>une th</w:t>
      </w:r>
      <w:r w:rsidRPr="00937052">
        <w:rPr>
          <w:rFonts w:ascii="Times New Roman" w:hAnsi="Times New Roman"/>
        </w:rPr>
        <w:t>é</w:t>
      </w:r>
      <w:r w:rsidRPr="00937052">
        <w:rPr>
          <w:rFonts w:ascii="Times New Roman" w:hAnsi="Times New Roman"/>
          <w:lang w:val="de-DE"/>
        </w:rPr>
        <w:t>orie g</w:t>
      </w:r>
      <w:r w:rsidRPr="00937052">
        <w:rPr>
          <w:rFonts w:ascii="Times New Roman" w:hAnsi="Times New Roman"/>
        </w:rPr>
        <w:t xml:space="preserve">énérale de l’intermédialité, et si certains « modèles » retiennent l’attention des auteurs – </w:t>
      </w:r>
      <w:r w:rsidRPr="00937052">
        <w:rPr>
          <w:rFonts w:ascii="Times New Roman" w:hAnsi="Times New Roman"/>
          <w:lang w:val="it-IT"/>
        </w:rPr>
        <w:t>la rem</w:t>
      </w:r>
      <w:r w:rsidRPr="00937052">
        <w:rPr>
          <w:rFonts w:ascii="Times New Roman" w:hAnsi="Times New Roman"/>
        </w:rPr>
        <w:t>édiation de Bolter et Grusin, par exemple -, c’est en vertu de leur pouvoir heuristique, dont seules des études de cas peuvent décider, et non du fait d’une valeur de vérité qui leur serait reconnue une fois pour toute. Ce qui signifie aussi que les études de cas de la revue sont des mises à l’épreuve d’</w:t>
      </w:r>
      <w:r w:rsidRPr="00937052">
        <w:rPr>
          <w:rFonts w:ascii="Times New Roman" w:hAnsi="Times New Roman"/>
          <w:lang w:val="fr-CA"/>
        </w:rPr>
        <w:t>un cadre th</w:t>
      </w:r>
      <w:r w:rsidRPr="00937052">
        <w:rPr>
          <w:rFonts w:ascii="Times New Roman" w:hAnsi="Times New Roman"/>
        </w:rPr>
        <w:t>éorique choisi ou en cours d’élaboration (ce que montrera Caroline dans son exemple) : aucun article publié dans la revue ne se contente de présenter une œuvre ou un objet sans en faire le prétexte d’une ré</w:t>
      </w:r>
      <w:r w:rsidRPr="00937052">
        <w:rPr>
          <w:rFonts w:ascii="Times New Roman" w:hAnsi="Times New Roman"/>
          <w:lang w:val="fr-CA"/>
        </w:rPr>
        <w:t>flexion th</w:t>
      </w:r>
      <w:r w:rsidRPr="00937052">
        <w:rPr>
          <w:rFonts w:ascii="Times New Roman" w:hAnsi="Times New Roman"/>
        </w:rPr>
        <w:t>éorique. C’est d’ailleurs une des recommandations que le comité adresse aux auteurs en plus des évaluations externes qu’ils reçoivent : voici l’extrait d’un courriel adressé à l’un d’entre eux : « Nous vous invitons à donner plus de repères et à prendre le temps de mesurer le chemin parcouru, par exemple, comme vous le faites dans votre courrier, en justifiant votre méthode au regard de votre objet. Ce retour théorique et épistémologique est important pour la revue, précisément parce que l’</w:t>
      </w:r>
      <w:r w:rsidRPr="00937052">
        <w:rPr>
          <w:rFonts w:ascii="Times New Roman" w:hAnsi="Times New Roman"/>
          <w:lang w:val="it-IT"/>
        </w:rPr>
        <w:t>approche interm</w:t>
      </w:r>
      <w:r w:rsidRPr="00937052">
        <w:rPr>
          <w:rFonts w:ascii="Times New Roman" w:hAnsi="Times New Roman"/>
        </w:rPr>
        <w:t>édiale que nous défendons demande de l’inventivité méthodologique, et donc, au bout du compte, qu’</w:t>
      </w:r>
      <w:r w:rsidRPr="00937052">
        <w:rPr>
          <w:rFonts w:ascii="Times New Roman" w:hAnsi="Times New Roman"/>
          <w:lang w:val="es-ES_tradnl"/>
        </w:rPr>
        <w:t>on la d</w:t>
      </w:r>
      <w:r w:rsidRPr="00937052">
        <w:rPr>
          <w:rFonts w:ascii="Times New Roman" w:hAnsi="Times New Roman"/>
        </w:rPr>
        <w:t>é</w:t>
      </w:r>
      <w:r w:rsidRPr="00937052">
        <w:rPr>
          <w:rFonts w:ascii="Times New Roman" w:hAnsi="Times New Roman"/>
          <w:lang w:val="pt-PT"/>
        </w:rPr>
        <w:t>fende</w:t>
      </w:r>
      <w:r w:rsidRPr="00937052">
        <w:rPr>
          <w:rFonts w:ascii="Times New Roman" w:hAnsi="Times New Roman"/>
        </w:rPr>
        <w:t xml:space="preserve"> ». </w:t>
      </w:r>
    </w:p>
    <w:p w14:paraId="6B5CBC30" w14:textId="77777777" w:rsidR="00220B0E" w:rsidRPr="00937052" w:rsidRDefault="00220B0E">
      <w:pPr>
        <w:pStyle w:val="CorpsA"/>
        <w:spacing w:line="360" w:lineRule="auto"/>
        <w:jc w:val="both"/>
        <w:rPr>
          <w:rFonts w:ascii="Times New Roman" w:eastAsia="Times New Roman" w:hAnsi="Times New Roman" w:cs="Times New Roman"/>
        </w:rPr>
      </w:pPr>
    </w:p>
    <w:p w14:paraId="5FAC7E50"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hAnsi="Times New Roman"/>
          <w:lang w:val="es-ES_tradnl"/>
        </w:rPr>
        <w:t>La revue n</w:t>
      </w:r>
      <w:r w:rsidRPr="00937052">
        <w:rPr>
          <w:rFonts w:ascii="Times New Roman" w:hAnsi="Times New Roman"/>
        </w:rPr>
        <w:t xml:space="preserve">’abrite donc pas de théorie des médias ou de la médiation, ni de « médiologie » générale, mais ouvre des terrains d’exploration qui déclinent la médiation en autant de </w:t>
      </w:r>
      <w:r w:rsidRPr="00937052">
        <w:rPr>
          <w:rFonts w:ascii="Times New Roman" w:hAnsi="Times New Roman"/>
          <w:i/>
          <w:iCs/>
          <w:lang w:val="it-IT"/>
        </w:rPr>
        <w:t>processus</w:t>
      </w:r>
      <w:r w:rsidRPr="00937052">
        <w:rPr>
          <w:rFonts w:ascii="Times New Roman" w:hAnsi="Times New Roman"/>
        </w:rPr>
        <w:t>. Ces processus impliquent de concevoir un niveau d’opé</w:t>
      </w:r>
      <w:r w:rsidRPr="00937052">
        <w:rPr>
          <w:rFonts w:ascii="Times New Roman" w:hAnsi="Times New Roman"/>
          <w:lang w:val="fr-CA"/>
        </w:rPr>
        <w:t>ration tr</w:t>
      </w:r>
      <w:r w:rsidRPr="00937052">
        <w:rPr>
          <w:rFonts w:ascii="Times New Roman" w:hAnsi="Times New Roman"/>
        </w:rPr>
        <w:t>ès abstrait identifié comme « intermédialité »</w:t>
      </w:r>
      <w:r w:rsidRPr="00937052">
        <w:rPr>
          <w:rFonts w:ascii="Times New Roman" w:hAnsi="Times New Roman"/>
          <w:lang w:val="pt-PT"/>
        </w:rPr>
        <w:t xml:space="preserve">, que chaque </w:t>
      </w:r>
      <w:r w:rsidRPr="00937052">
        <w:rPr>
          <w:rFonts w:ascii="Times New Roman" w:hAnsi="Times New Roman"/>
        </w:rPr>
        <w:t>étude de cas permet d’</w:t>
      </w:r>
      <w:r w:rsidRPr="00937052">
        <w:rPr>
          <w:rFonts w:ascii="Times New Roman" w:hAnsi="Times New Roman"/>
          <w:lang w:val="it-IT"/>
        </w:rPr>
        <w:t>appr</w:t>
      </w:r>
      <w:r w:rsidRPr="00937052">
        <w:rPr>
          <w:rFonts w:ascii="Times New Roman" w:hAnsi="Times New Roman"/>
        </w:rPr>
        <w:t>éhender, et que le cumul des études de cas permet patiemment, quoique toujours incomplètement, de « </w:t>
      </w:r>
      <w:r w:rsidRPr="00937052">
        <w:rPr>
          <w:rFonts w:ascii="Times New Roman" w:hAnsi="Times New Roman"/>
          <w:lang w:val="fr-CA"/>
        </w:rPr>
        <w:t>th</w:t>
      </w:r>
      <w:r w:rsidRPr="00937052">
        <w:rPr>
          <w:rFonts w:ascii="Times New Roman" w:hAnsi="Times New Roman"/>
        </w:rPr>
        <w:t xml:space="preserve">éoriser ». </w:t>
      </w:r>
    </w:p>
    <w:p w14:paraId="7776AD15" w14:textId="77777777" w:rsidR="00220B0E" w:rsidRPr="00937052" w:rsidRDefault="00220B0E">
      <w:pPr>
        <w:pStyle w:val="CorpsA"/>
        <w:spacing w:line="360" w:lineRule="auto"/>
        <w:jc w:val="both"/>
        <w:rPr>
          <w:rFonts w:ascii="Times New Roman" w:eastAsia="Times New Roman" w:hAnsi="Times New Roman" w:cs="Times New Roman"/>
        </w:rPr>
      </w:pPr>
    </w:p>
    <w:p w14:paraId="1EDAFFA8" w14:textId="77777777" w:rsidR="00220B0E" w:rsidRPr="00937052" w:rsidRDefault="00220B0E">
      <w:pPr>
        <w:pStyle w:val="CorpsA"/>
        <w:spacing w:line="360" w:lineRule="auto"/>
        <w:jc w:val="both"/>
        <w:rPr>
          <w:rFonts w:ascii="Times New Roman" w:eastAsia="Times New Roman" w:hAnsi="Times New Roman" w:cs="Times New Roman"/>
        </w:rPr>
      </w:pPr>
    </w:p>
    <w:p w14:paraId="528EA1C7" w14:textId="77777777" w:rsidR="00220B0E" w:rsidRPr="00937052" w:rsidRDefault="007B3C01">
      <w:pPr>
        <w:pStyle w:val="CorpsA"/>
        <w:spacing w:line="360" w:lineRule="auto"/>
        <w:jc w:val="center"/>
        <w:rPr>
          <w:rFonts w:ascii="Times New Roman" w:eastAsia="Times New Roman" w:hAnsi="Times New Roman" w:cs="Times New Roman"/>
          <w:b/>
          <w:bCs/>
          <w:i/>
          <w:iCs/>
          <w:color w:val="0070C0"/>
          <w:u w:color="0070C0"/>
          <w:lang w:val="da-DK"/>
        </w:rPr>
      </w:pPr>
      <w:r w:rsidRPr="00937052">
        <w:rPr>
          <w:rFonts w:ascii="Times New Roman" w:hAnsi="Times New Roman"/>
          <w:b/>
          <w:bCs/>
          <w:i/>
          <w:iCs/>
          <w:color w:val="0070C0"/>
          <w:u w:color="0070C0"/>
          <w:lang w:val="da-DK"/>
        </w:rPr>
        <w:t>Caroline</w:t>
      </w:r>
    </w:p>
    <w:p w14:paraId="44E12FA7" w14:textId="77777777" w:rsidR="00220B0E" w:rsidRPr="00937052" w:rsidRDefault="007B3C01">
      <w:pPr>
        <w:pStyle w:val="ListParagraph"/>
        <w:numPr>
          <w:ilvl w:val="0"/>
          <w:numId w:val="2"/>
        </w:numPr>
        <w:spacing w:line="360" w:lineRule="auto"/>
        <w:jc w:val="both"/>
        <w:rPr>
          <w:rFonts w:ascii="Times New Roman" w:eastAsia="Times New Roman" w:hAnsi="Times New Roman" w:cs="Times New Roman"/>
          <w:b/>
          <w:bCs/>
        </w:rPr>
      </w:pPr>
      <w:r w:rsidRPr="00937052">
        <w:rPr>
          <w:rFonts w:ascii="Times New Roman" w:hAnsi="Times New Roman"/>
          <w:b/>
          <w:bCs/>
        </w:rPr>
        <w:t xml:space="preserve">La revue </w:t>
      </w:r>
      <w:r w:rsidRPr="00937052">
        <w:rPr>
          <w:rFonts w:ascii="Times New Roman" w:hAnsi="Times New Roman"/>
          <w:b/>
          <w:bCs/>
          <w:i/>
          <w:iCs/>
        </w:rPr>
        <w:t xml:space="preserve">Intermédialités </w:t>
      </w:r>
      <w:r w:rsidRPr="00937052">
        <w:rPr>
          <w:rFonts w:ascii="Times New Roman" w:hAnsi="Times New Roman"/>
          <w:b/>
          <w:bCs/>
        </w:rPr>
        <w:t>comme « laboratoire de la pensée intermédiale » ou « lieu de théorisation spontanée »</w:t>
      </w:r>
    </w:p>
    <w:p w14:paraId="7A47EF0E" w14:textId="646C0626" w:rsidR="00220B0E" w:rsidRPr="00937052" w:rsidRDefault="007C44F8" w:rsidP="00337E21">
      <w:pPr>
        <w:pStyle w:val="CorpsA"/>
        <w:spacing w:line="360" w:lineRule="auto"/>
        <w:jc w:val="both"/>
        <w:rPr>
          <w:rFonts w:ascii="Times New Roman" w:eastAsia="Times New Roman" w:hAnsi="Times New Roman" w:cs="Times New Roman"/>
        </w:rPr>
      </w:pPr>
      <w:r w:rsidRPr="00937052">
        <w:rPr>
          <w:rFonts w:ascii="Times New Roman" w:eastAsia="Times New Roman" w:hAnsi="Times New Roman" w:cs="Times New Roman"/>
          <w:color w:val="FF0000"/>
        </w:rPr>
        <w:t xml:space="preserve">[slide] </w:t>
      </w:r>
      <w:r w:rsidR="007B3C01" w:rsidRPr="00937052">
        <w:rPr>
          <w:rFonts w:ascii="Times New Roman" w:hAnsi="Times New Roman"/>
        </w:rPr>
        <w:t xml:space="preserve">Depuis ses tout débuts, la revue s’est établie comme un genre de « laboratoire de la pensée » où </w:t>
      </w:r>
      <w:r w:rsidR="007B3C01" w:rsidRPr="00937052">
        <w:rPr>
          <w:rFonts w:ascii="Times New Roman" w:hAnsi="Times New Roman"/>
          <w:lang w:val="fr-CA"/>
        </w:rPr>
        <w:t>une certaine vision th</w:t>
      </w:r>
      <w:r w:rsidR="007B3C01" w:rsidRPr="00937052">
        <w:rPr>
          <w:rFonts w:ascii="Times New Roman" w:hAnsi="Times New Roman"/>
        </w:rPr>
        <w:t>éorique de l’intermédialité se retrouve saisie dans les diffé</w:t>
      </w:r>
      <w:r w:rsidR="007B3C01" w:rsidRPr="00937052">
        <w:rPr>
          <w:rFonts w:ascii="Times New Roman" w:hAnsi="Times New Roman"/>
          <w:lang w:val="pt-PT"/>
        </w:rPr>
        <w:t xml:space="preserve">rentes </w:t>
      </w:r>
      <w:r w:rsidR="007B3C01" w:rsidRPr="00937052">
        <w:rPr>
          <w:rFonts w:ascii="Times New Roman" w:hAnsi="Times New Roman"/>
        </w:rPr>
        <w:t>é</w:t>
      </w:r>
      <w:r w:rsidR="007B3C01" w:rsidRPr="00937052">
        <w:rPr>
          <w:rFonts w:ascii="Times New Roman" w:hAnsi="Times New Roman"/>
          <w:lang w:val="pt-PT"/>
        </w:rPr>
        <w:t>tapes d</w:t>
      </w:r>
      <w:r w:rsidR="007B3C01" w:rsidRPr="00937052">
        <w:rPr>
          <w:rFonts w:ascii="Times New Roman" w:hAnsi="Times New Roman"/>
        </w:rPr>
        <w:t xml:space="preserve">’un état perpétuel de devenir qui adhère aux règles d’un processus à la </w:t>
      </w:r>
      <w:r w:rsidR="007B3C01" w:rsidRPr="00937052">
        <w:rPr>
          <w:rFonts w:ascii="Times New Roman" w:hAnsi="Times New Roman"/>
        </w:rPr>
        <w:lastRenderedPageBreak/>
        <w:t xml:space="preserve">fois rhizomique et polyphonique. Au fil des numéros, on voit alors émerger deux niveaux principaux où </w:t>
      </w:r>
      <w:r w:rsidR="007B3C01" w:rsidRPr="00937052">
        <w:rPr>
          <w:rFonts w:ascii="Times New Roman" w:hAnsi="Times New Roman"/>
          <w:lang w:val="fr-CA"/>
        </w:rPr>
        <w:t>cette th</w:t>
      </w:r>
      <w:r w:rsidR="007B3C01" w:rsidRPr="00937052">
        <w:rPr>
          <w:rFonts w:ascii="Times New Roman" w:hAnsi="Times New Roman"/>
        </w:rPr>
        <w:t>éorisation spontanée opère à des vitesses et selon des modes souvent dé</w:t>
      </w:r>
      <w:r w:rsidR="007B3C01" w:rsidRPr="00937052">
        <w:rPr>
          <w:rFonts w:ascii="Times New Roman" w:hAnsi="Times New Roman"/>
          <w:lang w:val="fr-CA"/>
        </w:rPr>
        <w:t>synchronis</w:t>
      </w:r>
      <w:r w:rsidR="007B3C01" w:rsidRPr="00937052">
        <w:rPr>
          <w:rFonts w:ascii="Times New Roman" w:hAnsi="Times New Roman"/>
        </w:rPr>
        <w:t>és et toujours diversifiés : celui, d’abord, des introductions de numé</w:t>
      </w:r>
      <w:r w:rsidR="007B3C01" w:rsidRPr="00937052">
        <w:rPr>
          <w:rFonts w:ascii="Times New Roman" w:hAnsi="Times New Roman"/>
          <w:lang w:val="pt-PT"/>
        </w:rPr>
        <w:t>ros, r</w:t>
      </w:r>
      <w:r w:rsidR="007B3C01" w:rsidRPr="00937052">
        <w:rPr>
          <w:rFonts w:ascii="Times New Roman" w:hAnsi="Times New Roman"/>
        </w:rPr>
        <w:t>édigées par les directeurs de numéros, dont la fonction première est de faire admettre un nouveau titre-verbe dans la ligné</w:t>
      </w:r>
      <w:r w:rsidR="007B3C01" w:rsidRPr="00937052">
        <w:rPr>
          <w:rFonts w:ascii="Times New Roman" w:hAnsi="Times New Roman"/>
          <w:lang w:val="fr-CA"/>
        </w:rPr>
        <w:t>e th</w:t>
      </w:r>
      <w:r w:rsidR="007B3C01" w:rsidRPr="00937052">
        <w:rPr>
          <w:rFonts w:ascii="Times New Roman" w:hAnsi="Times New Roman"/>
        </w:rPr>
        <w:t>ématique de la revue mais qui, souvent, dépassent largement cette fonction en proposant un vé</w:t>
      </w:r>
      <w:r w:rsidR="007B3C01" w:rsidRPr="00937052">
        <w:rPr>
          <w:rFonts w:ascii="Times New Roman" w:hAnsi="Times New Roman"/>
          <w:lang w:val="fr-CA"/>
        </w:rPr>
        <w:t>ritable appareil th</w:t>
      </w:r>
      <w:r w:rsidR="007B3C01" w:rsidRPr="00937052">
        <w:rPr>
          <w:rFonts w:ascii="Times New Roman" w:hAnsi="Times New Roman"/>
        </w:rPr>
        <w:t>éorique dont la portée dépasse alors le numé</w:t>
      </w:r>
      <w:r w:rsidR="007B3C01" w:rsidRPr="00937052">
        <w:rPr>
          <w:rFonts w:ascii="Times New Roman" w:hAnsi="Times New Roman"/>
          <w:lang w:val="es-ES_tradnl"/>
        </w:rPr>
        <w:t>ro en question</w:t>
      </w:r>
      <w:r w:rsidR="007B3C01" w:rsidRPr="00937052">
        <w:rPr>
          <w:rFonts w:ascii="Times New Roman" w:hAnsi="Times New Roman"/>
          <w:i/>
          <w:iCs/>
        </w:rPr>
        <w:t>.</w:t>
      </w:r>
      <w:r w:rsidR="007B3C01" w:rsidRPr="00937052">
        <w:rPr>
          <w:rFonts w:ascii="Times New Roman" w:hAnsi="Times New Roman"/>
        </w:rPr>
        <w:t xml:space="preserve"> Puis, dans un deuxième temps, celui des articles eux-mê</w:t>
      </w:r>
      <w:r w:rsidR="007B3C01" w:rsidRPr="00937052">
        <w:rPr>
          <w:rFonts w:ascii="Times New Roman" w:hAnsi="Times New Roman"/>
          <w:lang w:val="it-IT"/>
        </w:rPr>
        <w:t>mes</w:t>
      </w:r>
      <w:r w:rsidR="00D84632" w:rsidRPr="00937052">
        <w:rPr>
          <w:rFonts w:ascii="Times New Roman" w:hAnsi="Times New Roman"/>
          <w:lang w:val="it-IT"/>
        </w:rPr>
        <w:t>. I</w:t>
      </w:r>
      <w:r w:rsidR="007B3C01" w:rsidRPr="00937052">
        <w:rPr>
          <w:rFonts w:ascii="Times New Roman" w:hAnsi="Times New Roman"/>
          <w:lang w:val="it-IT"/>
        </w:rPr>
        <w:t>ci, c</w:t>
      </w:r>
      <w:r w:rsidR="007B3C01" w:rsidRPr="00937052">
        <w:rPr>
          <w:rFonts w:ascii="Times New Roman" w:hAnsi="Times New Roman"/>
        </w:rPr>
        <w:t>’est une lecture attentive qui permet de distinguer, d’une part, les articles dont la visée principale est tout simplement de s’insérer dans la thématique d’un numéro en particulier, et d’autre part ceux qui témoignent d’une volonté d’entrer en dialogue avec la revue-laboratoire dans son entier.</w:t>
      </w:r>
      <w:r w:rsidR="00D84632" w:rsidRPr="00937052">
        <w:rPr>
          <w:rFonts w:ascii="Times New Roman" w:hAnsi="Times New Roman"/>
        </w:rPr>
        <w:t xml:space="preserve"> C’est cette deuxième catégorie qui m’intéresse tout particulièrement et qui va ainsi me préoccuper pour le restant de cette présentation. </w:t>
      </w:r>
    </w:p>
    <w:p w14:paraId="34AADAE8" w14:textId="4826D98F" w:rsidR="00220B0E" w:rsidRPr="00937052" w:rsidRDefault="00D84632" w:rsidP="00337E21">
      <w:pPr>
        <w:pStyle w:val="CorpsA"/>
        <w:spacing w:line="360" w:lineRule="auto"/>
        <w:ind w:firstLine="720"/>
        <w:jc w:val="both"/>
        <w:rPr>
          <w:rFonts w:ascii="Times New Roman" w:eastAsia="Times New Roman" w:hAnsi="Times New Roman" w:cs="Times New Roman"/>
          <w:color w:val="AEAAAA"/>
          <w:u w:color="AEAAAA"/>
          <w:lang w:val="en-CA"/>
        </w:rPr>
      </w:pPr>
      <w:r w:rsidRPr="00937052">
        <w:rPr>
          <w:rFonts w:ascii="Times New Roman" w:hAnsi="Times New Roman"/>
        </w:rPr>
        <w:t xml:space="preserve">Ici, c’est la méthode de l’explication de texte qui permet le mieux de démontrer le rôle des études de cas. </w:t>
      </w:r>
      <w:r w:rsidR="007C44F8" w:rsidRPr="00937052">
        <w:rPr>
          <w:rFonts w:ascii="Times New Roman" w:hAnsi="Times New Roman"/>
          <w:color w:val="FF0000"/>
        </w:rPr>
        <w:t xml:space="preserve">[slide] </w:t>
      </w:r>
      <w:r w:rsidR="007B3C01" w:rsidRPr="00937052">
        <w:rPr>
          <w:rFonts w:ascii="Times New Roman" w:hAnsi="Times New Roman"/>
        </w:rPr>
        <w:t>Dans leur article « Interactivity and Affect in Intermedial Art: Theorizing Introverted and Extraverted Intermediality », Jasper Sluijs et Anneke Smelik prennent pour objets d’analyse deux œuvres d’art : l’</w:t>
      </w:r>
      <w:r w:rsidR="007B3C01" w:rsidRPr="00937052">
        <w:rPr>
          <w:rFonts w:ascii="Times New Roman" w:hAnsi="Times New Roman"/>
          <w:lang w:val="it-IT"/>
        </w:rPr>
        <w:t xml:space="preserve">installation sonore </w:t>
      </w:r>
      <w:r w:rsidR="007B3C01" w:rsidRPr="00937052">
        <w:rPr>
          <w:rFonts w:ascii="Times New Roman" w:hAnsi="Times New Roman"/>
          <w:i/>
          <w:iCs/>
        </w:rPr>
        <w:t>Son-O-House </w:t>
      </w:r>
      <w:r w:rsidR="007B3C01" w:rsidRPr="00937052">
        <w:rPr>
          <w:rFonts w:ascii="Times New Roman" w:hAnsi="Times New Roman"/>
        </w:rPr>
        <w:t>(2004), et l’animation crowdsourcée </w:t>
      </w:r>
      <w:r w:rsidR="007B3C01" w:rsidRPr="00937052">
        <w:rPr>
          <w:rFonts w:ascii="Times New Roman" w:hAnsi="Times New Roman"/>
          <w:i/>
          <w:iCs/>
        </w:rPr>
        <w:t>Elephants Dream </w:t>
      </w:r>
      <w:r w:rsidR="007B3C01" w:rsidRPr="00937052">
        <w:rPr>
          <w:rFonts w:ascii="Times New Roman" w:hAnsi="Times New Roman"/>
        </w:rPr>
        <w:t xml:space="preserve">(2006). </w:t>
      </w:r>
      <w:r w:rsidR="007C44F8" w:rsidRPr="00937052">
        <w:rPr>
          <w:rFonts w:ascii="Times New Roman" w:hAnsi="Times New Roman"/>
          <w:color w:val="FF0000"/>
        </w:rPr>
        <w:t xml:space="preserve">[slide] </w:t>
      </w:r>
      <w:r w:rsidR="007B3C01" w:rsidRPr="00937052">
        <w:rPr>
          <w:rFonts w:ascii="Times New Roman" w:hAnsi="Times New Roman"/>
        </w:rPr>
        <w:t>S’appuyant d’abord sur les fondements européens de la thé</w:t>
      </w:r>
      <w:r w:rsidR="007B3C01" w:rsidRPr="00937052">
        <w:rPr>
          <w:rFonts w:ascii="Times New Roman" w:hAnsi="Times New Roman"/>
          <w:lang w:val="nl-NL"/>
        </w:rPr>
        <w:t>orie interm</w:t>
      </w:r>
      <w:r w:rsidR="007B3C01" w:rsidRPr="00937052">
        <w:rPr>
          <w:rFonts w:ascii="Times New Roman" w:hAnsi="Times New Roman"/>
        </w:rPr>
        <w:t>édiale tels qu’ils apparaissent dans l’œuvre de Jü</w:t>
      </w:r>
      <w:r w:rsidR="007B3C01" w:rsidRPr="00937052">
        <w:rPr>
          <w:rFonts w:ascii="Times New Roman" w:hAnsi="Times New Roman"/>
          <w:lang w:val="de-DE"/>
        </w:rPr>
        <w:t>rgen M</w:t>
      </w:r>
      <w:r w:rsidR="007B3C01" w:rsidRPr="00937052">
        <w:rPr>
          <w:rFonts w:ascii="Times New Roman" w:hAnsi="Times New Roman"/>
        </w:rPr>
        <w:t xml:space="preserve">üller (les auteurs citent le classique </w:t>
      </w:r>
      <w:r w:rsidR="007B3C01" w:rsidRPr="00937052">
        <w:rPr>
          <w:rFonts w:ascii="Times New Roman" w:hAnsi="Times New Roman"/>
          <w:i/>
          <w:iCs/>
        </w:rPr>
        <w:t>Intermedialität </w:t>
      </w:r>
      <w:r w:rsidR="007B3C01" w:rsidRPr="00937052">
        <w:rPr>
          <w:rFonts w:ascii="Times New Roman" w:hAnsi="Times New Roman"/>
          <w:i/>
          <w:iCs/>
          <w:lang w:val="de-DE"/>
        </w:rPr>
        <w:t>: Formen moderner kultureller Kommunikation</w:t>
      </w:r>
      <w:r w:rsidR="007B3C01" w:rsidRPr="00937052">
        <w:rPr>
          <w:rFonts w:ascii="Times New Roman" w:hAnsi="Times New Roman"/>
          <w:lang w:val="nl-NL"/>
        </w:rPr>
        <w:t xml:space="preserve">, 1996), Sluijs et Smelik cherchent avant tout </w:t>
      </w:r>
      <w:r w:rsidR="007B3C01" w:rsidRPr="00937052">
        <w:rPr>
          <w:rFonts w:ascii="Times New Roman" w:hAnsi="Times New Roman"/>
        </w:rPr>
        <w:t xml:space="preserve">à identifier la façon dont les processus dynamiques qui relient les médias les uns aux autres repoussent les limites d’un objet au-delà de la simple multimédialité. Mais à la notion de l’intermédialité comme « conceptual fusion of media » qui donnerait naissance à une « new dimension and experience that are not present in the separate media » </w:t>
      </w:r>
      <w:r w:rsidR="007B3C01" w:rsidRPr="00937052">
        <w:rPr>
          <w:rFonts w:ascii="Times New Roman" w:hAnsi="Times New Roman"/>
          <w:color w:val="AEAAAA"/>
          <w:u w:color="AEAAAA"/>
          <w:lang w:val="nl-NL"/>
        </w:rPr>
        <w:t>(Sluijs &amp; Smelik,, p178, ref. M</w:t>
      </w:r>
      <w:r w:rsidR="007B3C01" w:rsidRPr="00937052">
        <w:rPr>
          <w:rFonts w:ascii="Times New Roman" w:hAnsi="Times New Roman"/>
          <w:color w:val="AEAAAA"/>
          <w:u w:color="AEAAAA"/>
        </w:rPr>
        <w:t>üller, 1996, 83-89)</w:t>
      </w:r>
      <w:r w:rsidR="007B3C01" w:rsidRPr="00937052">
        <w:rPr>
          <w:rFonts w:ascii="Times New Roman" w:hAnsi="Times New Roman"/>
        </w:rPr>
        <w:t>, se rajoute bientôt une nouvelle dimension : remontant au premier numé</w:t>
      </w:r>
      <w:r w:rsidR="007B3C01" w:rsidRPr="00937052">
        <w:rPr>
          <w:rFonts w:ascii="Times New Roman" w:hAnsi="Times New Roman"/>
          <w:lang w:val="es-ES_tradnl"/>
        </w:rPr>
        <w:t xml:space="preserve">ro de la revue, </w:t>
      </w:r>
      <w:r w:rsidR="007B3C01" w:rsidRPr="00937052">
        <w:rPr>
          <w:rFonts w:ascii="Times New Roman" w:hAnsi="Times New Roman"/>
        </w:rPr>
        <w:t>« Naître », les auteurs citent l’introduction d’Éric Mé</w:t>
      </w:r>
      <w:r w:rsidR="007B3C01" w:rsidRPr="00937052">
        <w:rPr>
          <w:rFonts w:ascii="Times New Roman" w:hAnsi="Times New Roman"/>
          <w:lang w:val="fr-CA"/>
        </w:rPr>
        <w:t>choulan, o</w:t>
      </w:r>
      <w:r w:rsidR="007B3C01" w:rsidRPr="00937052">
        <w:rPr>
          <w:rFonts w:ascii="Times New Roman" w:hAnsi="Times New Roman"/>
        </w:rPr>
        <w:t xml:space="preserve">ù figure une réflexion sur le rapport entre </w:t>
      </w:r>
      <w:r w:rsidR="007B3C01" w:rsidRPr="00937052">
        <w:rPr>
          <w:rFonts w:ascii="Times New Roman" w:hAnsi="Times New Roman"/>
          <w:i/>
          <w:iCs/>
        </w:rPr>
        <w:t xml:space="preserve">inter- </w:t>
      </w:r>
      <w:r w:rsidR="007B3C01" w:rsidRPr="00937052">
        <w:rPr>
          <w:rFonts w:ascii="Times New Roman" w:hAnsi="Times New Roman"/>
        </w:rPr>
        <w:t xml:space="preserve">et </w:t>
      </w:r>
      <w:r w:rsidR="007B3C01" w:rsidRPr="00937052">
        <w:rPr>
          <w:rFonts w:ascii="Times New Roman" w:hAnsi="Times New Roman"/>
          <w:i/>
          <w:iCs/>
        </w:rPr>
        <w:t>medium</w:t>
      </w:r>
      <w:r w:rsidR="007B3C01" w:rsidRPr="00937052">
        <w:rPr>
          <w:rFonts w:ascii="Times New Roman" w:hAnsi="Times New Roman"/>
        </w:rPr>
        <w:t xml:space="preserve">, ainsi qu’un article de Henk Osterling dont l’argument central est que l’entre-deux (ou </w:t>
      </w:r>
      <w:r w:rsidR="007B3C01" w:rsidRPr="00937052">
        <w:rPr>
          <w:rFonts w:ascii="Times New Roman" w:hAnsi="Times New Roman"/>
          <w:i/>
          <w:iCs/>
        </w:rPr>
        <w:t>inter-esse</w:t>
      </w:r>
      <w:r w:rsidR="007B3C01" w:rsidRPr="00937052">
        <w:rPr>
          <w:rFonts w:ascii="Times New Roman" w:hAnsi="Times New Roman"/>
        </w:rPr>
        <w:t>, comme l’appelle Mé</w:t>
      </w:r>
      <w:r w:rsidR="007B3C01" w:rsidRPr="00937052">
        <w:rPr>
          <w:rFonts w:ascii="Times New Roman" w:hAnsi="Times New Roman"/>
          <w:lang w:val="fr-CA"/>
        </w:rPr>
        <w:t>choulan) n</w:t>
      </w:r>
      <w:r w:rsidR="007B3C01" w:rsidRPr="00937052">
        <w:rPr>
          <w:rFonts w:ascii="Times New Roman" w:hAnsi="Times New Roman"/>
        </w:rPr>
        <w:t>’a pas de lieu (</w:t>
      </w:r>
      <w:r w:rsidR="007B3C01" w:rsidRPr="00937052">
        <w:rPr>
          <w:rFonts w:ascii="Times New Roman" w:hAnsi="Times New Roman"/>
          <w:i/>
          <w:iCs/>
        </w:rPr>
        <w:t>locus</w:t>
      </w:r>
      <w:r w:rsidR="007B3C01" w:rsidRPr="00937052">
        <w:rPr>
          <w:rFonts w:ascii="Times New Roman" w:hAnsi="Times New Roman"/>
        </w:rPr>
        <w:t>) mais se situe, au contraire, entre les mé</w:t>
      </w:r>
      <w:r w:rsidR="007B3C01" w:rsidRPr="00937052">
        <w:rPr>
          <w:rFonts w:ascii="Times New Roman" w:hAnsi="Times New Roman"/>
          <w:lang w:val="pt-PT"/>
        </w:rPr>
        <w:t>dias, de fa</w:t>
      </w:r>
      <w:r w:rsidR="007B3C01" w:rsidRPr="00937052">
        <w:rPr>
          <w:rFonts w:ascii="Times New Roman" w:hAnsi="Times New Roman"/>
        </w:rPr>
        <w:t>çon non-localisable. D’</w:t>
      </w:r>
      <w:r w:rsidR="007B3C01" w:rsidRPr="00937052">
        <w:rPr>
          <w:rFonts w:ascii="Times New Roman" w:hAnsi="Times New Roman"/>
          <w:lang w:val="it-IT"/>
        </w:rPr>
        <w:t>ici, il n</w:t>
      </w:r>
      <w:r w:rsidR="007B3C01" w:rsidRPr="00937052">
        <w:rPr>
          <w:rFonts w:ascii="Times New Roman" w:hAnsi="Times New Roman"/>
        </w:rPr>
        <w:t>’</w:t>
      </w:r>
      <w:r w:rsidR="007B3C01" w:rsidRPr="00937052">
        <w:rPr>
          <w:rFonts w:ascii="Times New Roman" w:hAnsi="Times New Roman"/>
          <w:lang w:val="es-ES_tradnl"/>
        </w:rPr>
        <w:t>y a qu</w:t>
      </w:r>
      <w:r w:rsidR="007B3C01" w:rsidRPr="00937052">
        <w:rPr>
          <w:rFonts w:ascii="Times New Roman" w:hAnsi="Times New Roman"/>
        </w:rPr>
        <w:t xml:space="preserve">’un saut, pour Slujis et Smelik, à constituer la théorie de </w:t>
      </w:r>
      <w:r w:rsidR="007B3C01" w:rsidRPr="00937052">
        <w:rPr>
          <w:rFonts w:ascii="Times New Roman" w:hAnsi="Times New Roman"/>
        </w:rPr>
        <w:lastRenderedPageBreak/>
        <w:t>l’entre-deux comme ce qui est perpétuellement déstabilisé (partant de Deleuze et Guattari), et donc, à considérer l’intermédialité comme ce qui est toujours déjà médiatisé</w:t>
      </w:r>
      <w:r w:rsidR="007B3C01" w:rsidRPr="00937052">
        <w:rPr>
          <w:rFonts w:ascii="Times New Roman" w:hAnsi="Times New Roman"/>
          <w:lang w:val="it-IT"/>
        </w:rPr>
        <w:t>. Enfin, s</w:t>
      </w:r>
      <w:r w:rsidR="007B3C01" w:rsidRPr="00937052">
        <w:rPr>
          <w:rFonts w:ascii="Times New Roman" w:hAnsi="Times New Roman"/>
        </w:rPr>
        <w:t>’appuyant sur encore un autre article de la revue, « </w:t>
      </w:r>
      <w:r w:rsidR="007B3C01" w:rsidRPr="00937052">
        <w:rPr>
          <w:rFonts w:ascii="Times New Roman" w:hAnsi="Times New Roman"/>
          <w:lang w:val="fr-CA"/>
        </w:rPr>
        <w:t>La perception du mouvement entre disparition et apparition :</w:t>
      </w:r>
      <w:r w:rsidR="007B3C01" w:rsidRPr="00937052">
        <w:rPr>
          <w:rFonts w:ascii="Times New Roman" w:hAnsi="Times New Roman"/>
        </w:rPr>
        <w:t xml:space="preserve"> </w:t>
      </w:r>
      <w:r w:rsidR="007B3C01" w:rsidRPr="00937052">
        <w:rPr>
          <w:rFonts w:ascii="Times New Roman" w:hAnsi="Times New Roman"/>
          <w:lang w:val="fr-CA"/>
        </w:rPr>
        <w:t>réminiscence mallarméenne de l’intermédialité</w:t>
      </w:r>
      <w:r w:rsidR="007B3C01" w:rsidRPr="00937052">
        <w:rPr>
          <w:rFonts w:ascii="Times New Roman" w:hAnsi="Times New Roman"/>
        </w:rPr>
        <w:t> » de Sylvano Santini dans « </w:t>
      </w:r>
      <w:r w:rsidR="007B3C01" w:rsidRPr="00937052">
        <w:rPr>
          <w:rFonts w:ascii="Times New Roman" w:hAnsi="Times New Roman"/>
          <w:lang w:val="es-ES_tradnl"/>
        </w:rPr>
        <w:t>Dispara</w:t>
      </w:r>
      <w:r w:rsidR="007B3C01" w:rsidRPr="00937052">
        <w:rPr>
          <w:rFonts w:ascii="Times New Roman" w:hAnsi="Times New Roman"/>
        </w:rPr>
        <w:t xml:space="preserve">ître » (numéro 10), les auteurs concluent que si c’est le mouvement qui crée l’intermédialité, et que la relation entre les médias est toujours fondamentalement instable, la question, pour revenir à </w:t>
      </w:r>
      <w:r w:rsidR="007B3C01" w:rsidRPr="00937052">
        <w:rPr>
          <w:rFonts w:ascii="Times New Roman" w:hAnsi="Times New Roman"/>
          <w:lang w:val="nl-NL"/>
        </w:rPr>
        <w:t>Deleuze, n</w:t>
      </w:r>
      <w:r w:rsidR="007B3C01" w:rsidRPr="00937052">
        <w:rPr>
          <w:rFonts w:ascii="Times New Roman" w:hAnsi="Times New Roman"/>
        </w:rPr>
        <w:t xml:space="preserve">’est plus de savoir ce que l’intermédialité </w:t>
      </w:r>
      <w:r w:rsidR="007B3C01" w:rsidRPr="00937052">
        <w:rPr>
          <w:rFonts w:ascii="Times New Roman" w:hAnsi="Times New Roman"/>
          <w:i/>
          <w:iCs/>
          <w:lang w:val="fr-CA"/>
        </w:rPr>
        <w:t>signifie</w:t>
      </w:r>
      <w:r w:rsidR="007B3C01" w:rsidRPr="00937052">
        <w:rPr>
          <w:rFonts w:ascii="Times New Roman" w:hAnsi="Times New Roman"/>
          <w:lang w:val="fr-CA"/>
        </w:rPr>
        <w:t xml:space="preserve"> (what it means) mais plut</w:t>
      </w:r>
      <w:r w:rsidR="007B3C01" w:rsidRPr="00937052">
        <w:rPr>
          <w:rFonts w:ascii="Times New Roman" w:hAnsi="Times New Roman"/>
        </w:rPr>
        <w:t xml:space="preserve">ôt ce qu’elle </w:t>
      </w:r>
      <w:r w:rsidR="007B3C01" w:rsidRPr="00937052">
        <w:rPr>
          <w:rFonts w:ascii="Times New Roman" w:hAnsi="Times New Roman"/>
          <w:i/>
          <w:iCs/>
        </w:rPr>
        <w:t xml:space="preserve">peut </w:t>
      </w:r>
      <w:r w:rsidR="007B3C01" w:rsidRPr="00937052">
        <w:rPr>
          <w:rFonts w:ascii="Times New Roman" w:hAnsi="Times New Roman"/>
          <w:lang w:val="fr-CA"/>
        </w:rPr>
        <w:t xml:space="preserve">(what it does) </w:t>
      </w:r>
      <w:r w:rsidR="007B3C01" w:rsidRPr="00937052">
        <w:rPr>
          <w:rFonts w:ascii="Times New Roman" w:hAnsi="Times New Roman"/>
          <w:color w:val="AEAAAA"/>
          <w:u w:color="AEAAAA"/>
        </w:rPr>
        <w:t xml:space="preserve">(Slujis et Smelik, p.180, ref. </w:t>
      </w:r>
      <w:r w:rsidR="007B3C01" w:rsidRPr="00937052">
        <w:rPr>
          <w:rFonts w:ascii="Times New Roman" w:hAnsi="Times New Roman"/>
          <w:color w:val="AEAAAA"/>
          <w:u w:color="AEAAAA"/>
          <w:lang w:val="en-US"/>
        </w:rPr>
        <w:t>Claire Colebrook, Understanding Deleuze, Crows Nest, Allen &amp; Unwin, 2002,</w:t>
      </w:r>
      <w:r w:rsidR="007B3C01" w:rsidRPr="00937052">
        <w:rPr>
          <w:rFonts w:ascii="Times New Roman" w:hAnsi="Times New Roman"/>
          <w:color w:val="AEAAAA"/>
          <w:u w:color="AEAAAA"/>
          <w:lang w:val="en-CA"/>
        </w:rPr>
        <w:t xml:space="preserve"> </w:t>
      </w:r>
      <w:r w:rsidR="007B3C01" w:rsidRPr="00937052">
        <w:rPr>
          <w:rFonts w:ascii="Times New Roman" w:hAnsi="Times New Roman"/>
          <w:color w:val="AEAAAA"/>
          <w:u w:color="AEAAAA"/>
          <w:lang w:val="en-US"/>
        </w:rPr>
        <w:t>p. xiiv; Simon O’Sullivan, Art Encounters Deleuze and Guattari: Thought Beyond</w:t>
      </w:r>
      <w:r w:rsidR="007B3C01" w:rsidRPr="00937052">
        <w:rPr>
          <w:rFonts w:ascii="Times New Roman" w:hAnsi="Times New Roman"/>
          <w:color w:val="AEAAAA"/>
          <w:u w:color="AEAAAA"/>
          <w:lang w:val="en-CA"/>
        </w:rPr>
        <w:t xml:space="preserve"> </w:t>
      </w:r>
      <w:r w:rsidR="007B3C01" w:rsidRPr="00937052">
        <w:rPr>
          <w:rFonts w:ascii="Times New Roman" w:hAnsi="Times New Roman"/>
          <w:color w:val="AEAAAA"/>
          <w:u w:color="AEAAAA"/>
          <w:lang w:val="en-US"/>
        </w:rPr>
        <w:t>Representation, Basingstoke and New York, Palgrave Macmillan, 2006, p. 43</w:t>
      </w:r>
      <w:r w:rsidR="007B3C01" w:rsidRPr="00937052">
        <w:rPr>
          <w:rFonts w:ascii="Times New Roman" w:hAnsi="Times New Roman"/>
          <w:color w:val="AEAAAA"/>
          <w:u w:color="AEAAAA"/>
          <w:lang w:val="en-CA"/>
        </w:rPr>
        <w:t xml:space="preserve">). </w:t>
      </w:r>
    </w:p>
    <w:p w14:paraId="199CC2A3" w14:textId="15750B68" w:rsidR="00220B0E" w:rsidRPr="00937052" w:rsidRDefault="007B3C01">
      <w:pPr>
        <w:pStyle w:val="CorpsA"/>
        <w:spacing w:line="360" w:lineRule="auto"/>
        <w:ind w:firstLine="720"/>
        <w:jc w:val="both"/>
        <w:rPr>
          <w:rFonts w:ascii="Times New Roman" w:eastAsia="Times New Roman" w:hAnsi="Times New Roman" w:cs="Times New Roman"/>
        </w:rPr>
      </w:pPr>
      <w:r w:rsidRPr="00937052">
        <w:rPr>
          <w:rFonts w:ascii="Times New Roman" w:hAnsi="Times New Roman"/>
        </w:rPr>
        <w:t xml:space="preserve">Afin de préparer le terrain pour leur propre contribution à </w:t>
      </w:r>
      <w:r w:rsidRPr="00937052">
        <w:rPr>
          <w:rFonts w:ascii="Times New Roman" w:hAnsi="Times New Roman"/>
          <w:lang w:val="fr-CA"/>
        </w:rPr>
        <w:t>la th</w:t>
      </w:r>
      <w:r w:rsidRPr="00937052">
        <w:rPr>
          <w:rFonts w:ascii="Times New Roman" w:hAnsi="Times New Roman"/>
        </w:rPr>
        <w:t>éorisation de l’intermédialité, Slujis et Smelik font se croiser thé</w:t>
      </w:r>
      <w:r w:rsidRPr="00937052">
        <w:rPr>
          <w:rFonts w:ascii="Times New Roman" w:hAnsi="Times New Roman"/>
          <w:lang w:val="nl-NL"/>
        </w:rPr>
        <w:t>orie interm</w:t>
      </w:r>
      <w:r w:rsidRPr="00937052">
        <w:rPr>
          <w:rFonts w:ascii="Times New Roman" w:hAnsi="Times New Roman"/>
        </w:rPr>
        <w:t>é</w:t>
      </w:r>
      <w:r w:rsidRPr="00937052">
        <w:rPr>
          <w:rFonts w:ascii="Times New Roman" w:hAnsi="Times New Roman"/>
          <w:lang w:val="it-IT"/>
        </w:rPr>
        <w:t>diale europ</w:t>
      </w:r>
      <w:r w:rsidRPr="00937052">
        <w:rPr>
          <w:rFonts w:ascii="Times New Roman" w:hAnsi="Times New Roman"/>
        </w:rPr>
        <w:t>éenne (Mü</w:t>
      </w:r>
      <w:r w:rsidRPr="00937052">
        <w:rPr>
          <w:rFonts w:ascii="Times New Roman" w:hAnsi="Times New Roman"/>
          <w:lang w:val="fr-CA"/>
        </w:rPr>
        <w:t>ller), th</w:t>
      </w:r>
      <w:r w:rsidRPr="00937052">
        <w:rPr>
          <w:rFonts w:ascii="Times New Roman" w:hAnsi="Times New Roman"/>
        </w:rPr>
        <w:t xml:space="preserve">éorie « faite maison » </w:t>
      </w:r>
      <w:r w:rsidRPr="00937052">
        <w:rPr>
          <w:rFonts w:ascii="Times New Roman" w:hAnsi="Times New Roman"/>
          <w:lang w:val="es-ES_tradnl"/>
        </w:rPr>
        <w:t>de la revue (M</w:t>
      </w:r>
      <w:r w:rsidRPr="00937052">
        <w:rPr>
          <w:rFonts w:ascii="Times New Roman" w:hAnsi="Times New Roman"/>
        </w:rPr>
        <w:t>é</w:t>
      </w:r>
      <w:r w:rsidRPr="00937052">
        <w:rPr>
          <w:rFonts w:ascii="Times New Roman" w:hAnsi="Times New Roman"/>
          <w:lang w:val="fr-CA"/>
        </w:rPr>
        <w:t>choulan, Osterlink), et th</w:t>
      </w:r>
      <w:r w:rsidRPr="00937052">
        <w:rPr>
          <w:rFonts w:ascii="Times New Roman" w:hAnsi="Times New Roman"/>
        </w:rPr>
        <w:t>éorie avec un grand « T » (Deleuze et Guattari). Puis, dans un deuxième temps, ils opposent à la non-directionalité des échanges rhizomatiques de Deleuze et Guattari, et à la labilité mobile de l’</w:t>
      </w:r>
      <w:r w:rsidRPr="00937052">
        <w:rPr>
          <w:rFonts w:ascii="Times New Roman" w:hAnsi="Times New Roman"/>
          <w:i/>
          <w:iCs/>
        </w:rPr>
        <w:t>inter-</w:t>
      </w:r>
      <w:r w:rsidRPr="00937052">
        <w:rPr>
          <w:rFonts w:ascii="Times New Roman" w:hAnsi="Times New Roman"/>
        </w:rPr>
        <w:t xml:space="preserve">médialité européenne et montréalaise, une notion de vectorialité </w:t>
      </w:r>
      <w:r w:rsidRPr="00937052">
        <w:rPr>
          <w:rFonts w:ascii="Times New Roman" w:hAnsi="Times New Roman"/>
          <w:lang w:val="it-IT"/>
        </w:rPr>
        <w:t>revitalis</w:t>
      </w:r>
      <w:r w:rsidRPr="00937052">
        <w:rPr>
          <w:rFonts w:ascii="Times New Roman" w:hAnsi="Times New Roman"/>
        </w:rPr>
        <w:t>ée, qu’ils prennent soin de diviser en deux </w:t>
      </w:r>
      <w:r w:rsidR="007C44F8" w:rsidRPr="00937052">
        <w:rPr>
          <w:rFonts w:ascii="Times New Roman" w:hAnsi="Times New Roman"/>
          <w:color w:val="FF0000"/>
        </w:rPr>
        <w:t>[slide]</w:t>
      </w:r>
      <w:r w:rsidRPr="00937052">
        <w:rPr>
          <w:rFonts w:ascii="Times New Roman" w:hAnsi="Times New Roman"/>
        </w:rPr>
        <w:t xml:space="preserve">: </w:t>
      </w:r>
    </w:p>
    <w:p w14:paraId="2DE39E37" w14:textId="77777777" w:rsidR="00220B0E" w:rsidRPr="00937052" w:rsidRDefault="007B3C01" w:rsidP="00AF79FC">
      <w:pPr>
        <w:pStyle w:val="CorpsA"/>
        <w:widowControl w:val="0"/>
        <w:ind w:left="720"/>
        <w:jc w:val="both"/>
        <w:rPr>
          <w:rFonts w:ascii="Times New Roman" w:eastAsia="Times New Roman" w:hAnsi="Times New Roman" w:cs="Times New Roman"/>
          <w:lang w:val="en-CA"/>
        </w:rPr>
      </w:pPr>
      <w:r w:rsidRPr="00937052">
        <w:rPr>
          <w:rFonts w:ascii="Times New Roman" w:hAnsi="Times New Roman"/>
          <w:lang w:val="en-US"/>
        </w:rPr>
        <w:t xml:space="preserve">“Introverted” intermediality is directed inward, in that it draws attention to its own principle of intermediality as an in-between of different media. As such, it is meta-reflexive. Introverted intermedial relations can be formal, abstract and stylized, but they still require the participation of the spectator or user. “Extraverted” intermediality is directed outwards, in that it draws attention to its expressive features. Its intermedial relations are diffuse and moving, triggering affect and sensation for its audience </w:t>
      </w:r>
      <w:r w:rsidRPr="00937052">
        <w:rPr>
          <w:rFonts w:ascii="Times New Roman" w:hAnsi="Times New Roman"/>
          <w:color w:val="AEAAAA"/>
          <w:u w:color="AEAAAA"/>
          <w:lang w:val="en-US"/>
        </w:rPr>
        <w:t>(</w:t>
      </w:r>
      <w:r w:rsidRPr="00937052">
        <w:rPr>
          <w:rFonts w:ascii="Times New Roman" w:hAnsi="Times New Roman"/>
          <w:color w:val="AEAAAA"/>
          <w:u w:color="AEAAAA"/>
          <w:lang w:val="en-CA"/>
        </w:rPr>
        <w:t xml:space="preserve">Slujis et Smelik, </w:t>
      </w:r>
      <w:r w:rsidRPr="00937052">
        <w:rPr>
          <w:rFonts w:ascii="Times New Roman" w:hAnsi="Times New Roman"/>
          <w:color w:val="AEAAAA"/>
          <w:u w:color="AEAAAA"/>
          <w:lang w:val="en-US"/>
        </w:rPr>
        <w:t>p.180).</w:t>
      </w:r>
    </w:p>
    <w:p w14:paraId="103963E6" w14:textId="77777777" w:rsidR="00220B0E" w:rsidRPr="00937052" w:rsidRDefault="00220B0E">
      <w:pPr>
        <w:pStyle w:val="CorpsA"/>
        <w:widowControl w:val="0"/>
        <w:spacing w:line="360" w:lineRule="auto"/>
        <w:ind w:left="720"/>
        <w:jc w:val="both"/>
        <w:rPr>
          <w:rFonts w:ascii="Times New Roman" w:eastAsia="Times New Roman" w:hAnsi="Times New Roman" w:cs="Times New Roman"/>
          <w:lang w:val="en-US"/>
        </w:rPr>
      </w:pPr>
    </w:p>
    <w:p w14:paraId="04BA1FB6"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eastAsia="Times New Roman" w:hAnsi="Times New Roman" w:cs="Times New Roman"/>
          <w:b/>
          <w:bCs/>
          <w:lang w:val="en-CA"/>
        </w:rPr>
        <w:tab/>
      </w:r>
      <w:r w:rsidRPr="00937052">
        <w:rPr>
          <w:rFonts w:ascii="Times New Roman" w:hAnsi="Times New Roman"/>
        </w:rPr>
        <w:t>Au cœur de la problématique introduite par les deux auteurs se trouve la tension entre autoréflexivité de l’intermédialité et charge affective de l’intermédialité extravertie. Si la notion moderniste d’autoréflexivité se retrouve de façon plus ou moins explicite dans différents numéros de la revue, Slujis et Smelik ajoutent au lexique théorique d’</w:t>
      </w:r>
      <w:r w:rsidRPr="00937052">
        <w:rPr>
          <w:rFonts w:ascii="Times New Roman" w:hAnsi="Times New Roman"/>
          <w:i/>
          <w:iCs/>
        </w:rPr>
        <w:t xml:space="preserve">Intermédialités </w:t>
      </w:r>
      <w:r w:rsidRPr="00937052">
        <w:rPr>
          <w:rFonts w:ascii="Times New Roman" w:hAnsi="Times New Roman"/>
        </w:rPr>
        <w:t xml:space="preserve">la notion d’affect (jusqu’ici, les contributions issues des </w:t>
      </w:r>
      <w:r w:rsidRPr="00937052">
        <w:rPr>
          <w:rFonts w:ascii="Times New Roman" w:hAnsi="Times New Roman"/>
          <w:i/>
          <w:iCs/>
          <w:lang w:val="de-DE"/>
        </w:rPr>
        <w:t xml:space="preserve">affect studies </w:t>
      </w:r>
      <w:r w:rsidRPr="00937052">
        <w:rPr>
          <w:rFonts w:ascii="Times New Roman" w:hAnsi="Times New Roman"/>
        </w:rPr>
        <w:t>ne figuraient quasiment pas au palmarè</w:t>
      </w:r>
      <w:r w:rsidRPr="00937052">
        <w:rPr>
          <w:rFonts w:ascii="Times New Roman" w:hAnsi="Times New Roman"/>
          <w:lang w:val="es-ES_tradnl"/>
        </w:rPr>
        <w:t xml:space="preserve">s de la revue). </w:t>
      </w:r>
      <w:r w:rsidR="00F16DC1" w:rsidRPr="00937052">
        <w:rPr>
          <w:rFonts w:ascii="Times New Roman" w:hAnsi="Times New Roman"/>
          <w:lang w:val="es-ES_tradnl"/>
        </w:rPr>
        <w:t>On</w:t>
      </w:r>
      <w:r w:rsidR="00F16DC1" w:rsidRPr="00937052">
        <w:rPr>
          <w:rFonts w:ascii="Times New Roman" w:hAnsi="Times New Roman"/>
        </w:rPr>
        <w:t xml:space="preserve"> relèvera le</w:t>
      </w:r>
      <w:r w:rsidR="00F16DC1" w:rsidRPr="00937052">
        <w:rPr>
          <w:rFonts w:ascii="Times New Roman" w:hAnsi="Times New Roman"/>
          <w:lang w:val="it-IT"/>
        </w:rPr>
        <w:t xml:space="preserve"> degr</w:t>
      </w:r>
      <w:r w:rsidR="00F16DC1" w:rsidRPr="00937052">
        <w:rPr>
          <w:rFonts w:ascii="Times New Roman" w:hAnsi="Times New Roman"/>
        </w:rPr>
        <w:t xml:space="preserve">é de soin avec lequel les auteurs déploient leur cadre théorique, faisant un effort considérable pour relier leur </w:t>
      </w:r>
      <w:r w:rsidR="00F16DC1" w:rsidRPr="00937052">
        <w:rPr>
          <w:rFonts w:ascii="Times New Roman" w:hAnsi="Times New Roman"/>
        </w:rPr>
        <w:lastRenderedPageBreak/>
        <w:t>concept d’une intermédialité de l’</w:t>
      </w:r>
      <w:r w:rsidR="00F16DC1" w:rsidRPr="00937052">
        <w:rPr>
          <w:rFonts w:ascii="Times New Roman" w:hAnsi="Times New Roman"/>
          <w:lang w:val="fr-CA"/>
        </w:rPr>
        <w:t xml:space="preserve">affect </w:t>
      </w:r>
      <w:r w:rsidR="00F16DC1" w:rsidRPr="00937052">
        <w:rPr>
          <w:rFonts w:ascii="Times New Roman" w:hAnsi="Times New Roman"/>
        </w:rPr>
        <w:t xml:space="preserve">à </w:t>
      </w:r>
      <w:r w:rsidR="00F16DC1" w:rsidRPr="00937052">
        <w:rPr>
          <w:rFonts w:ascii="Times New Roman" w:hAnsi="Times New Roman"/>
          <w:lang w:val="fr-CA"/>
        </w:rPr>
        <w:t>des th</w:t>
      </w:r>
      <w:r w:rsidR="00F16DC1" w:rsidRPr="00937052">
        <w:rPr>
          <w:rFonts w:ascii="Times New Roman" w:hAnsi="Times New Roman"/>
        </w:rPr>
        <w:t>éorisations de l’entre-deux déjà-existantes au sein des publications dans la revue, mais aussi chez les penseurs dont l’influence plane sur ces textes</w:t>
      </w:r>
      <w:r w:rsidR="00F16DC1" w:rsidRPr="00937052">
        <w:rPr>
          <w:rFonts w:ascii="Times New Roman" w:hAnsi="Times New Roman"/>
          <w:lang w:val="es-ES_tradnl"/>
        </w:rPr>
        <w:t>.</w:t>
      </w:r>
    </w:p>
    <w:p w14:paraId="735F4296" w14:textId="7549EC80" w:rsidR="00220B0E" w:rsidRPr="00937052" w:rsidRDefault="007B3C01">
      <w:pPr>
        <w:pStyle w:val="CorpsA"/>
        <w:spacing w:line="360" w:lineRule="auto"/>
        <w:ind w:firstLine="720"/>
        <w:jc w:val="both"/>
        <w:rPr>
          <w:rFonts w:ascii="Times New Roman" w:eastAsia="Times New Roman" w:hAnsi="Times New Roman" w:cs="Times New Roman"/>
        </w:rPr>
      </w:pPr>
      <w:r w:rsidRPr="00937052">
        <w:rPr>
          <w:rFonts w:ascii="Times New Roman" w:hAnsi="Times New Roman"/>
          <w:lang w:val="it-IT"/>
        </w:rPr>
        <w:t>La pens</w:t>
      </w:r>
      <w:r w:rsidRPr="00937052">
        <w:rPr>
          <w:rFonts w:ascii="Times New Roman" w:hAnsi="Times New Roman"/>
        </w:rPr>
        <w:t xml:space="preserve">ée de Deleuze se retrouve à de nombreuses reprises dans les articles de la revue, souvent ceux qui traitent de cinéma ; ici, c’est au versant le plus métaphysique du philosophe que l’on à faire, puisque Slujis et Smelik y ont recours afin de proposer une théorie de la différence dans l’intermédialité. Pour ce faire, ils remontent à </w:t>
      </w:r>
      <w:r w:rsidRPr="00937052">
        <w:rPr>
          <w:rFonts w:ascii="Times New Roman" w:hAnsi="Times New Roman"/>
          <w:i/>
          <w:iCs/>
        </w:rPr>
        <w:t xml:space="preserve">Différence et répétition </w:t>
      </w:r>
      <w:r w:rsidRPr="00937052">
        <w:rPr>
          <w:rFonts w:ascii="Times New Roman" w:hAnsi="Times New Roman"/>
        </w:rPr>
        <w:t>(1968) et à la notion de différence que Deleuze y esquisse comme force productive et créatrice. Slujis et Smelik extraient de cette notion l’idée d’une force productive opérant au sein même de la différence entre les mé</w:t>
      </w:r>
      <w:r w:rsidRPr="00937052">
        <w:rPr>
          <w:rFonts w:ascii="Times New Roman" w:hAnsi="Times New Roman"/>
          <w:lang w:val="pt-PT"/>
        </w:rPr>
        <w:t>dias, c</w:t>
      </w:r>
      <w:r w:rsidRPr="00937052">
        <w:rPr>
          <w:rFonts w:ascii="Times New Roman" w:hAnsi="Times New Roman"/>
        </w:rPr>
        <w:t>’est-à-dire au sein même de l’</w:t>
      </w:r>
      <w:r w:rsidRPr="00937052">
        <w:rPr>
          <w:rFonts w:ascii="Times New Roman" w:hAnsi="Times New Roman"/>
          <w:i/>
          <w:iCs/>
        </w:rPr>
        <w:t>inter-</w:t>
      </w:r>
      <w:r w:rsidRPr="00937052">
        <w:rPr>
          <w:rFonts w:ascii="Times New Roman" w:hAnsi="Times New Roman"/>
        </w:rPr>
        <w:t xml:space="preserve">. </w:t>
      </w:r>
      <w:r w:rsidR="007C44F8" w:rsidRPr="00937052">
        <w:rPr>
          <w:rFonts w:ascii="Times New Roman" w:hAnsi="Times New Roman"/>
          <w:color w:val="FF0000"/>
        </w:rPr>
        <w:t xml:space="preserve">[slide] </w:t>
      </w:r>
      <w:r w:rsidRPr="00937052">
        <w:rPr>
          <w:rFonts w:ascii="Times New Roman" w:hAnsi="Times New Roman"/>
          <w:i/>
          <w:iCs/>
          <w:lang w:val="fr-CA"/>
        </w:rPr>
        <w:t>Son-O-House</w:t>
      </w:r>
      <w:r w:rsidRPr="00937052">
        <w:rPr>
          <w:rFonts w:ascii="Times New Roman" w:hAnsi="Times New Roman"/>
        </w:rPr>
        <w:t xml:space="preserve"> est une structure architecturale conçue pour ne contenir aucune ligne droite et décontenancer ainsi son visiteur qui ne peut pas se tenir droit à l’intérieur de l’édifice pendant qu’il y écoute un morceau dont le principe de composition repose, non pas sur la répétition comme c’est généralement le cas en musique, mais sur l’exploration des différences internes entre les sons. En érigeant </w:t>
      </w:r>
      <w:r w:rsidRPr="00937052">
        <w:rPr>
          <w:rFonts w:ascii="Times New Roman" w:hAnsi="Times New Roman"/>
          <w:i/>
          <w:iCs/>
          <w:lang w:val="fr-CA"/>
        </w:rPr>
        <w:t xml:space="preserve">Son-O-House </w:t>
      </w:r>
      <w:r w:rsidRPr="00937052">
        <w:rPr>
          <w:rFonts w:ascii="Times New Roman" w:hAnsi="Times New Roman"/>
        </w:rPr>
        <w:t>en exemple d’intermédialité intravertie, Slujis et Smelik suggèrent que l’installation toute entière</w:t>
      </w:r>
      <w:r w:rsidRPr="00937052">
        <w:rPr>
          <w:rFonts w:ascii="Times New Roman" w:hAnsi="Times New Roman"/>
          <w:i/>
          <w:iCs/>
        </w:rPr>
        <w:t xml:space="preserve"> </w:t>
      </w:r>
      <w:r w:rsidRPr="00937052">
        <w:rPr>
          <w:rFonts w:ascii="Times New Roman" w:hAnsi="Times New Roman"/>
        </w:rPr>
        <w:t>repose sur l’idée de la « répétition par la différence, et de la différence par la répétition » (p.185) dont le rôle serait de rendre visible « an ‘</w:t>
      </w:r>
      <w:r w:rsidRPr="00937052">
        <w:rPr>
          <w:rFonts w:ascii="Times New Roman" w:hAnsi="Times New Roman"/>
          <w:lang w:val="nl-NL"/>
        </w:rPr>
        <w:t>open</w:t>
      </w:r>
      <w:r w:rsidRPr="00937052">
        <w:rPr>
          <w:rFonts w:ascii="Times New Roman" w:hAnsi="Times New Roman"/>
        </w:rPr>
        <w:t>’</w:t>
      </w:r>
      <w:r w:rsidRPr="00937052">
        <w:rPr>
          <w:rFonts w:ascii="Times New Roman" w:hAnsi="Times New Roman"/>
          <w:lang w:val="fr-CA"/>
        </w:rPr>
        <w:t>, non-hierarchical relation between the media involved</w:t>
      </w:r>
      <w:r w:rsidRPr="00937052">
        <w:rPr>
          <w:rFonts w:ascii="Times New Roman" w:hAnsi="Times New Roman"/>
        </w:rPr>
        <w:t> » (p.185). Enfin, en combinant la pensée de Deleuze sur la différence avec les é</w:t>
      </w:r>
      <w:r w:rsidRPr="00937052">
        <w:rPr>
          <w:rFonts w:ascii="Times New Roman" w:hAnsi="Times New Roman"/>
          <w:lang w:val="fr-CA"/>
        </w:rPr>
        <w:t>crits th</w:t>
      </w:r>
      <w:r w:rsidRPr="00937052">
        <w:rPr>
          <w:rFonts w:ascii="Times New Roman" w:hAnsi="Times New Roman"/>
        </w:rPr>
        <w:t>éoriques du compositeur de musique élec</w:t>
      </w:r>
      <w:r w:rsidR="007C44F8" w:rsidRPr="00937052">
        <w:rPr>
          <w:rFonts w:ascii="Times New Roman" w:hAnsi="Times New Roman"/>
        </w:rPr>
        <w:t>tronique Dick Raaijmakers, Sluij</w:t>
      </w:r>
      <w:r w:rsidRPr="00937052">
        <w:rPr>
          <w:rFonts w:ascii="Times New Roman" w:hAnsi="Times New Roman"/>
        </w:rPr>
        <w:t>s et Smelik arrivent à la conclusion suivante concernant le versant « </w:t>
      </w:r>
      <w:r w:rsidRPr="00937052">
        <w:rPr>
          <w:rFonts w:ascii="Times New Roman" w:hAnsi="Times New Roman"/>
          <w:lang w:val="it-IT"/>
        </w:rPr>
        <w:t>interaverti</w:t>
      </w:r>
      <w:r w:rsidRPr="00937052">
        <w:rPr>
          <w:rFonts w:ascii="Times New Roman" w:hAnsi="Times New Roman"/>
        </w:rPr>
        <w:t> » de l’intermédialité : de par son insistance sur la dimension participative de la musique é</w:t>
      </w:r>
      <w:r w:rsidRPr="00937052">
        <w:rPr>
          <w:rFonts w:ascii="Times New Roman" w:hAnsi="Times New Roman"/>
          <w:lang w:val="pt-PT"/>
        </w:rPr>
        <w:t>lectronique rencontr</w:t>
      </w:r>
      <w:r w:rsidRPr="00937052">
        <w:rPr>
          <w:rFonts w:ascii="Times New Roman" w:hAnsi="Times New Roman"/>
        </w:rPr>
        <w:t xml:space="preserve">ée dans des espaces tridimensionnels tels que </w:t>
      </w:r>
      <w:r w:rsidRPr="00937052">
        <w:rPr>
          <w:rFonts w:ascii="Times New Roman" w:hAnsi="Times New Roman"/>
          <w:i/>
          <w:iCs/>
          <w:lang w:val="fr-CA"/>
        </w:rPr>
        <w:t>Son-O-House</w:t>
      </w:r>
      <w:r w:rsidRPr="00937052">
        <w:rPr>
          <w:rFonts w:ascii="Times New Roman" w:hAnsi="Times New Roman"/>
        </w:rPr>
        <w:t xml:space="preserve">, où les membres du public orientent activement leur perception de la musique selon leur positionnement dans l’espace, l’attention que porte Raaijmakers à la profondeur spatiale offre un complément esthétique à </w:t>
      </w:r>
      <w:r w:rsidRPr="00937052">
        <w:rPr>
          <w:rFonts w:ascii="Times New Roman" w:hAnsi="Times New Roman"/>
          <w:lang w:val="fr-CA"/>
        </w:rPr>
        <w:t>la notion th</w:t>
      </w:r>
      <w:r w:rsidRPr="00937052">
        <w:rPr>
          <w:rFonts w:ascii="Times New Roman" w:hAnsi="Times New Roman"/>
        </w:rPr>
        <w:t>éorisée par Deleuze de la répétition complexe comme résultat d’une différence interne. Comme le précisent encore Slujis et Smelik, les deux cadres théoriques pris ensemble permettent alors à la pensé</w:t>
      </w:r>
      <w:r w:rsidRPr="00937052">
        <w:rPr>
          <w:rFonts w:ascii="Times New Roman" w:hAnsi="Times New Roman"/>
          <w:lang w:val="nl-NL"/>
        </w:rPr>
        <w:t>e de Deleuze d</w:t>
      </w:r>
      <w:r w:rsidRPr="00937052">
        <w:rPr>
          <w:rFonts w:ascii="Times New Roman" w:hAnsi="Times New Roman"/>
        </w:rPr>
        <w:t>’ouvrir une réflexion sur l’art multimé</w:t>
      </w:r>
      <w:r w:rsidRPr="00937052">
        <w:rPr>
          <w:rFonts w:ascii="Times New Roman" w:hAnsi="Times New Roman"/>
          <w:lang w:val="ru-RU"/>
        </w:rPr>
        <w:t xml:space="preserve">dia.  </w:t>
      </w:r>
    </w:p>
    <w:p w14:paraId="288A5A8C" w14:textId="3002E802" w:rsidR="00220B0E" w:rsidRPr="00937052" w:rsidRDefault="007C44F8" w:rsidP="00337E21">
      <w:pPr>
        <w:pStyle w:val="CorpsA"/>
        <w:spacing w:line="360" w:lineRule="auto"/>
        <w:ind w:firstLine="720"/>
        <w:jc w:val="both"/>
        <w:rPr>
          <w:rFonts w:ascii="Times New Roman" w:eastAsia="Times New Roman" w:hAnsi="Times New Roman" w:cs="Times New Roman"/>
        </w:rPr>
      </w:pPr>
      <w:r w:rsidRPr="00937052">
        <w:rPr>
          <w:rFonts w:ascii="Times New Roman" w:hAnsi="Times New Roman"/>
          <w:iCs/>
          <w:color w:val="FF0000"/>
        </w:rPr>
        <w:t xml:space="preserve">[slide] </w:t>
      </w:r>
      <w:r w:rsidR="007B3C01" w:rsidRPr="00937052">
        <w:rPr>
          <w:rFonts w:ascii="Times New Roman" w:hAnsi="Times New Roman"/>
          <w:i/>
          <w:iCs/>
        </w:rPr>
        <w:t>Elephants Dream</w:t>
      </w:r>
      <w:r w:rsidR="007B3C01" w:rsidRPr="00937052">
        <w:rPr>
          <w:rFonts w:ascii="Times New Roman" w:hAnsi="Times New Roman"/>
        </w:rPr>
        <w:t xml:space="preserve"> est un film d’animation d’une dizaine de minutes conçu selon un principe d’ouverture totale puisqu’il est produit avec un logiciel open source et </w:t>
      </w:r>
      <w:r w:rsidR="007B3C01" w:rsidRPr="00937052">
        <w:rPr>
          <w:rFonts w:ascii="Times New Roman" w:hAnsi="Times New Roman"/>
        </w:rPr>
        <w:lastRenderedPageBreak/>
        <w:t>que, de surcroit, son code source est offert au public en accès libre, permettant aux spectateurs de continuer à manipuler le film à leur guise. Dans un premier temps,  Slujis et Smelik commencent par caractériser l’œuvre en termes théoriques déjà connus : ainsi, ils empruntent le terme « </w:t>
      </w:r>
      <w:r w:rsidR="007B3C01" w:rsidRPr="00937052">
        <w:rPr>
          <w:rFonts w:ascii="Times New Roman" w:hAnsi="Times New Roman"/>
          <w:lang w:val="fr-CA"/>
        </w:rPr>
        <w:t>mutual remediation</w:t>
      </w:r>
      <w:r w:rsidR="007B3C01" w:rsidRPr="00937052">
        <w:rPr>
          <w:rFonts w:ascii="Times New Roman" w:hAnsi="Times New Roman"/>
        </w:rPr>
        <w:t> » pour parler des échanges entre cinéma, musique, et mé</w:t>
      </w:r>
      <w:r w:rsidR="007B3C01" w:rsidRPr="00937052">
        <w:rPr>
          <w:rFonts w:ascii="Times New Roman" w:hAnsi="Times New Roman"/>
          <w:lang w:val="pt-PT"/>
        </w:rPr>
        <w:t>dias num</w:t>
      </w:r>
      <w:r w:rsidR="007B3C01" w:rsidRPr="00937052">
        <w:rPr>
          <w:rFonts w:ascii="Times New Roman" w:hAnsi="Times New Roman"/>
        </w:rPr>
        <w:t xml:space="preserve">ériques que </w:t>
      </w:r>
      <w:r w:rsidR="007B3C01" w:rsidRPr="00937052">
        <w:rPr>
          <w:rFonts w:ascii="Times New Roman" w:hAnsi="Times New Roman"/>
          <w:i/>
          <w:iCs/>
          <w:lang w:val="fr-CA"/>
        </w:rPr>
        <w:t xml:space="preserve">Elephants Dream </w:t>
      </w:r>
      <w:r w:rsidR="007B3C01" w:rsidRPr="00937052">
        <w:rPr>
          <w:rFonts w:ascii="Times New Roman" w:hAnsi="Times New Roman"/>
          <w:lang w:val="nl-NL"/>
        </w:rPr>
        <w:t>met en sc</w:t>
      </w:r>
      <w:r w:rsidR="007B3C01" w:rsidRPr="00937052">
        <w:rPr>
          <w:rFonts w:ascii="Times New Roman" w:hAnsi="Times New Roman"/>
        </w:rPr>
        <w:t xml:space="preserve">ène, un terme issu non pas du fameux </w:t>
      </w:r>
      <w:r w:rsidR="007B3C01" w:rsidRPr="00937052">
        <w:rPr>
          <w:rFonts w:ascii="Times New Roman" w:hAnsi="Times New Roman"/>
          <w:i/>
          <w:iCs/>
          <w:lang w:val="fr-CA"/>
        </w:rPr>
        <w:t>Remediation</w:t>
      </w:r>
      <w:r w:rsidR="007B3C01" w:rsidRPr="00937052">
        <w:rPr>
          <w:rFonts w:ascii="Times New Roman" w:hAnsi="Times New Roman"/>
          <w:i/>
          <w:iCs/>
        </w:rPr>
        <w:t> </w:t>
      </w:r>
      <w:r w:rsidR="007B3C01" w:rsidRPr="00937052">
        <w:rPr>
          <w:rFonts w:ascii="Times New Roman" w:hAnsi="Times New Roman"/>
          <w:i/>
          <w:iCs/>
          <w:lang w:val="fr-CA"/>
        </w:rPr>
        <w:t xml:space="preserve">: Understanding New Media </w:t>
      </w:r>
      <w:r w:rsidR="007B3C01" w:rsidRPr="00937052">
        <w:rPr>
          <w:rFonts w:ascii="Times New Roman" w:hAnsi="Times New Roman"/>
        </w:rPr>
        <w:t>(Bolter &amp; Grusin, 1999), comme on pourrait s’y attendre, mais plutôt d’</w:t>
      </w:r>
      <w:r w:rsidR="007B3C01" w:rsidRPr="00937052">
        <w:rPr>
          <w:rFonts w:ascii="Times New Roman" w:hAnsi="Times New Roman"/>
          <w:lang w:val="fr-CA"/>
        </w:rPr>
        <w:t>un article publi</w:t>
      </w:r>
      <w:r w:rsidR="007B3C01" w:rsidRPr="00937052">
        <w:rPr>
          <w:rFonts w:ascii="Times New Roman" w:hAnsi="Times New Roman"/>
        </w:rPr>
        <w:t>é par Bolter seul dans le numéro « Remé</w:t>
      </w:r>
      <w:r w:rsidR="007B3C01" w:rsidRPr="00937052">
        <w:rPr>
          <w:rFonts w:ascii="Times New Roman" w:hAnsi="Times New Roman"/>
          <w:lang w:val="de-DE"/>
        </w:rPr>
        <w:t>dier</w:t>
      </w:r>
      <w:r w:rsidR="007B3C01" w:rsidRPr="00937052">
        <w:rPr>
          <w:rFonts w:ascii="Times New Roman" w:hAnsi="Times New Roman"/>
        </w:rPr>
        <w:t> » : « </w:t>
      </w:r>
      <w:r w:rsidR="007B3C01" w:rsidRPr="00937052">
        <w:rPr>
          <w:rFonts w:ascii="Times New Roman" w:hAnsi="Times New Roman"/>
          <w:lang w:val="fr-CA"/>
        </w:rPr>
        <w:t>Transference and Transparency</w:t>
      </w:r>
      <w:r w:rsidR="007B3C01" w:rsidRPr="00937052">
        <w:rPr>
          <w:rFonts w:ascii="Times New Roman" w:hAnsi="Times New Roman"/>
        </w:rPr>
        <w:t> </w:t>
      </w:r>
      <w:r w:rsidR="007B3C01" w:rsidRPr="00937052">
        <w:rPr>
          <w:rFonts w:ascii="Times New Roman" w:hAnsi="Times New Roman"/>
          <w:lang w:val="fr-CA"/>
        </w:rPr>
        <w:t>: Digital Technology and the Remediation of Cinema</w:t>
      </w:r>
      <w:r w:rsidR="007B3C01" w:rsidRPr="00937052">
        <w:rPr>
          <w:rFonts w:ascii="Times New Roman" w:hAnsi="Times New Roman"/>
        </w:rPr>
        <w:t xml:space="preserve"> » (2005). Après avoir décrit l’ouverture narrative du récit modulaire de </w:t>
      </w:r>
      <w:r w:rsidR="007B3C01" w:rsidRPr="00937052">
        <w:rPr>
          <w:rFonts w:ascii="Times New Roman" w:hAnsi="Times New Roman"/>
          <w:i/>
          <w:iCs/>
        </w:rPr>
        <w:t>Elephants Dream</w:t>
      </w:r>
      <w:r w:rsidR="007B3C01" w:rsidRPr="00937052">
        <w:rPr>
          <w:rFonts w:ascii="Times New Roman" w:hAnsi="Times New Roman"/>
        </w:rPr>
        <w:t>, les auteurs introduisent leur définition de l’</w:t>
      </w:r>
      <w:r w:rsidR="007B3C01" w:rsidRPr="00937052">
        <w:rPr>
          <w:rFonts w:ascii="Times New Roman" w:hAnsi="Times New Roman"/>
          <w:lang w:val="pt-PT"/>
        </w:rPr>
        <w:t>affect, qu</w:t>
      </w:r>
      <w:r w:rsidR="007B3C01" w:rsidRPr="00937052">
        <w:rPr>
          <w:rFonts w:ascii="Times New Roman" w:hAnsi="Times New Roman"/>
        </w:rPr>
        <w:t xml:space="preserve">’ils empruntent – on s’y attendait – à </w:t>
      </w:r>
      <w:r w:rsidR="007B3C01" w:rsidRPr="00937052">
        <w:rPr>
          <w:rFonts w:ascii="Times New Roman" w:hAnsi="Times New Roman"/>
          <w:lang w:val="nl-NL"/>
        </w:rPr>
        <w:t>Deleuze</w:t>
      </w:r>
      <w:r w:rsidR="007B3C01" w:rsidRPr="00937052">
        <w:rPr>
          <w:rFonts w:ascii="Times New Roman" w:hAnsi="Times New Roman"/>
        </w:rPr>
        <w:t xml:space="preserve"> : « We use affect in its Deleuzean sense as a moment of intensive quality, or as a bloc of sensations waiting to be activated by a viewer.  </w:t>
      </w:r>
      <w:r w:rsidR="007B3C01" w:rsidRPr="00937052">
        <w:rPr>
          <w:rFonts w:ascii="Times New Roman" w:hAnsi="Times New Roman"/>
          <w:lang w:val="en-US"/>
        </w:rPr>
        <w:t>Affect is an experience for the spectator that comes prior to meaning.</w:t>
      </w:r>
      <w:r w:rsidR="007B3C01" w:rsidRPr="00937052">
        <w:rPr>
          <w:rFonts w:ascii="Times New Roman" w:hAnsi="Times New Roman"/>
          <w:lang w:val="en-CA"/>
        </w:rPr>
        <w:t xml:space="preserve"> » (p. 192). Mais c’est deux phrases plus loin qu’ils effectuent le bond théorique le plus important de cette deuxième partie du texte, et de l’article dans son entier : « </w:t>
      </w:r>
      <w:r w:rsidR="007B3C01" w:rsidRPr="00937052">
        <w:rPr>
          <w:rFonts w:ascii="Times New Roman" w:hAnsi="Times New Roman"/>
          <w:lang w:val="en-US"/>
        </w:rPr>
        <w:t>We contend that affect is not only related</w:t>
      </w:r>
      <w:r w:rsidR="007B3C01" w:rsidRPr="00937052">
        <w:rPr>
          <w:rFonts w:ascii="Times New Roman" w:hAnsi="Times New Roman"/>
          <w:lang w:val="en-CA"/>
        </w:rPr>
        <w:t xml:space="preserve"> </w:t>
      </w:r>
      <w:r w:rsidR="007B3C01" w:rsidRPr="00937052">
        <w:rPr>
          <w:rFonts w:ascii="Times New Roman" w:hAnsi="Times New Roman"/>
          <w:lang w:val="en-US"/>
        </w:rPr>
        <w:t xml:space="preserve">to the non-linearity of the fragmented narrative in </w:t>
      </w:r>
      <w:r w:rsidR="007B3C01" w:rsidRPr="00937052">
        <w:rPr>
          <w:rFonts w:ascii="Times New Roman" w:hAnsi="Times New Roman"/>
          <w:i/>
          <w:iCs/>
          <w:lang w:val="en-US"/>
        </w:rPr>
        <w:t>Elephants Dream</w:t>
      </w:r>
      <w:r w:rsidR="007B3C01" w:rsidRPr="00937052">
        <w:rPr>
          <w:rFonts w:ascii="Times New Roman" w:hAnsi="Times New Roman"/>
          <w:lang w:val="en-US"/>
        </w:rPr>
        <w:t>, but also to</w:t>
      </w:r>
      <w:r w:rsidR="007B3C01" w:rsidRPr="00937052">
        <w:rPr>
          <w:rFonts w:ascii="Times New Roman" w:hAnsi="Times New Roman"/>
          <w:lang w:val="en-CA"/>
        </w:rPr>
        <w:t xml:space="preserve"> </w:t>
      </w:r>
      <w:r w:rsidR="007B3C01" w:rsidRPr="00937052">
        <w:rPr>
          <w:rFonts w:ascii="Times New Roman" w:hAnsi="Times New Roman"/>
          <w:lang w:val="en-US"/>
        </w:rPr>
        <w:t xml:space="preserve">its intermediality. </w:t>
      </w:r>
      <w:r w:rsidR="007B3C01" w:rsidRPr="00937052">
        <w:rPr>
          <w:rFonts w:ascii="Times New Roman" w:hAnsi="Times New Roman"/>
          <w:lang w:val="en-CA"/>
        </w:rPr>
        <w:t xml:space="preserve">» </w:t>
      </w:r>
      <w:r w:rsidR="007B3C01" w:rsidRPr="00937052">
        <w:rPr>
          <w:rFonts w:ascii="Times New Roman" w:hAnsi="Times New Roman"/>
        </w:rPr>
        <w:t xml:space="preserve">(p. 192) Enfin, les auteurs citent </w:t>
      </w:r>
      <w:r w:rsidR="007B3C01" w:rsidRPr="00937052">
        <w:rPr>
          <w:rFonts w:ascii="Times New Roman" w:hAnsi="Times New Roman"/>
          <w:lang w:val="nl-NL"/>
        </w:rPr>
        <w:t>le Deleuze</w:t>
      </w:r>
      <w:r w:rsidR="007B3C01" w:rsidRPr="00937052">
        <w:rPr>
          <w:rFonts w:ascii="Times New Roman" w:hAnsi="Times New Roman"/>
        </w:rPr>
        <w:t xml:space="preserve">, cette fois-ci,  de </w:t>
      </w:r>
      <w:r w:rsidR="007B3C01" w:rsidRPr="00937052">
        <w:rPr>
          <w:rFonts w:ascii="Times New Roman" w:hAnsi="Times New Roman"/>
          <w:i/>
          <w:iCs/>
          <w:lang w:val="it-IT"/>
        </w:rPr>
        <w:t>Cin</w:t>
      </w:r>
      <w:r w:rsidR="007B3C01" w:rsidRPr="00937052">
        <w:rPr>
          <w:rFonts w:ascii="Times New Roman" w:hAnsi="Times New Roman"/>
          <w:i/>
          <w:iCs/>
        </w:rPr>
        <w:t xml:space="preserve">éma 1 </w:t>
      </w:r>
      <w:r w:rsidR="007B3C01" w:rsidRPr="00937052">
        <w:rPr>
          <w:rFonts w:ascii="Times New Roman" w:hAnsi="Times New Roman"/>
        </w:rPr>
        <w:t xml:space="preserve">et </w:t>
      </w:r>
      <w:r w:rsidR="007B3C01" w:rsidRPr="00937052">
        <w:rPr>
          <w:rFonts w:ascii="Times New Roman" w:hAnsi="Times New Roman"/>
          <w:i/>
          <w:iCs/>
        </w:rPr>
        <w:t xml:space="preserve">2 </w:t>
      </w:r>
      <w:r w:rsidR="007B3C01" w:rsidRPr="00937052">
        <w:rPr>
          <w:rFonts w:ascii="Times New Roman" w:hAnsi="Times New Roman"/>
        </w:rPr>
        <w:t xml:space="preserve">pour proposer la notion suivante : si une analyse productive du cinéma aborde le médium en termes d’affect plutôt que de représentation, alors la structure rhizomatique de </w:t>
      </w:r>
      <w:r w:rsidR="007B3C01" w:rsidRPr="00937052">
        <w:rPr>
          <w:rFonts w:ascii="Times New Roman" w:hAnsi="Times New Roman"/>
          <w:i/>
          <w:iCs/>
          <w:lang w:val="fr-CA"/>
        </w:rPr>
        <w:t xml:space="preserve">Elephants Dream </w:t>
      </w:r>
      <w:r w:rsidR="007B3C01" w:rsidRPr="00937052">
        <w:rPr>
          <w:rFonts w:ascii="Times New Roman" w:hAnsi="Times New Roman"/>
        </w:rPr>
        <w:t>fait appel à une « </w:t>
      </w:r>
      <w:r w:rsidR="007B3C01" w:rsidRPr="00937052">
        <w:rPr>
          <w:rFonts w:ascii="Times New Roman" w:hAnsi="Times New Roman"/>
          <w:lang w:val="fr-CA"/>
        </w:rPr>
        <w:t>esth</w:t>
      </w:r>
      <w:r w:rsidR="007B3C01" w:rsidRPr="00937052">
        <w:rPr>
          <w:rFonts w:ascii="Times New Roman" w:hAnsi="Times New Roman"/>
        </w:rPr>
        <w:t>étique intermé</w:t>
      </w:r>
      <w:r w:rsidR="007B3C01" w:rsidRPr="00937052">
        <w:rPr>
          <w:rFonts w:ascii="Times New Roman" w:hAnsi="Times New Roman"/>
          <w:lang w:val="it-IT"/>
        </w:rPr>
        <w:t>diale</w:t>
      </w:r>
      <w:r w:rsidR="007B3C01" w:rsidRPr="00937052">
        <w:rPr>
          <w:rFonts w:ascii="Times New Roman" w:hAnsi="Times New Roman"/>
        </w:rPr>
        <w:t xml:space="preserve"> » qui, à son tour, introduit et nécessite que l’on se penche de plus près sur la notion d’affect. </w:t>
      </w:r>
    </w:p>
    <w:p w14:paraId="5EC06F9E" w14:textId="77777777" w:rsidR="00220B0E" w:rsidRPr="00937052" w:rsidRDefault="007B3C01">
      <w:pPr>
        <w:pStyle w:val="CorpsA"/>
        <w:spacing w:line="360" w:lineRule="auto"/>
        <w:ind w:firstLine="720"/>
        <w:jc w:val="both"/>
        <w:rPr>
          <w:rFonts w:ascii="Times New Roman" w:eastAsia="Times New Roman" w:hAnsi="Times New Roman" w:cs="Times New Roman"/>
        </w:rPr>
      </w:pPr>
      <w:r w:rsidRPr="00937052">
        <w:rPr>
          <w:rFonts w:ascii="Times New Roman" w:hAnsi="Times New Roman"/>
        </w:rPr>
        <w:t xml:space="preserve">Si, selon Deleuze et Guattari, l’œuvre d’art donne lieu à un « bloc de sensations », ce que l’intermédialité permet, selon Slujis et Smelik, c’est l’émergence rhizomatique d’une expérience originale (un bloc de sensations au sens deleuzien) issue de l’entre-deux de différents médias (dans </w:t>
      </w:r>
      <w:r w:rsidRPr="00937052">
        <w:rPr>
          <w:rFonts w:ascii="Times New Roman" w:hAnsi="Times New Roman"/>
          <w:i/>
          <w:iCs/>
        </w:rPr>
        <w:t>Elephants Dream</w:t>
      </w:r>
      <w:r w:rsidRPr="00937052">
        <w:rPr>
          <w:rFonts w:ascii="Times New Roman" w:hAnsi="Times New Roman"/>
        </w:rPr>
        <w:t>, ceci est provoqué, en plus de l’ouverture matérielle du médium, par l’ouverture narrative et nonlinéaire du contenu du film). Comme les auteurs le soulignent dans leur conclusion, un des apports que la théorie de l’</w:t>
      </w:r>
      <w:r w:rsidRPr="00937052">
        <w:rPr>
          <w:rFonts w:ascii="Times New Roman" w:hAnsi="Times New Roman"/>
          <w:lang w:val="fr-CA"/>
        </w:rPr>
        <w:t xml:space="preserve">affect offre </w:t>
      </w:r>
      <w:r w:rsidRPr="00937052">
        <w:rPr>
          <w:rFonts w:ascii="Times New Roman" w:hAnsi="Times New Roman"/>
        </w:rPr>
        <w:t xml:space="preserve">à </w:t>
      </w:r>
      <w:r w:rsidRPr="00937052">
        <w:rPr>
          <w:rFonts w:ascii="Times New Roman" w:hAnsi="Times New Roman"/>
          <w:lang w:val="fr-CA"/>
        </w:rPr>
        <w:t>la th</w:t>
      </w:r>
      <w:r w:rsidRPr="00937052">
        <w:rPr>
          <w:rFonts w:ascii="Times New Roman" w:hAnsi="Times New Roman"/>
        </w:rPr>
        <w:t>é</w:t>
      </w:r>
      <w:r w:rsidRPr="00937052">
        <w:rPr>
          <w:rFonts w:ascii="Times New Roman" w:hAnsi="Times New Roman"/>
          <w:lang w:val="nl-NL"/>
        </w:rPr>
        <w:t>orie interm</w:t>
      </w:r>
      <w:r w:rsidRPr="00937052">
        <w:rPr>
          <w:rFonts w:ascii="Times New Roman" w:hAnsi="Times New Roman"/>
        </w:rPr>
        <w:t>édiale est que le fait de s’intéresser aux affects rend accessible des positions telles que l’</w:t>
      </w:r>
      <w:r w:rsidRPr="00937052">
        <w:rPr>
          <w:rFonts w:ascii="Times New Roman" w:hAnsi="Times New Roman"/>
          <w:lang w:val="it-IT"/>
        </w:rPr>
        <w:t>affinit</w:t>
      </w:r>
      <w:r w:rsidRPr="00937052">
        <w:rPr>
          <w:rFonts w:ascii="Times New Roman" w:hAnsi="Times New Roman"/>
        </w:rPr>
        <w:t>é ou l’intensité, qui s’offrent ainsi en complément aux postures de distance et de détachement généralement préconisées dans l’étude des médialité</w:t>
      </w:r>
      <w:r w:rsidRPr="00937052">
        <w:rPr>
          <w:rFonts w:ascii="Times New Roman" w:hAnsi="Times New Roman"/>
          <w:lang w:val="pt-PT"/>
        </w:rPr>
        <w:t xml:space="preserve">s. </w:t>
      </w:r>
    </w:p>
    <w:p w14:paraId="1786FA89" w14:textId="77777777" w:rsidR="00220B0E" w:rsidRPr="00937052" w:rsidRDefault="00220B0E">
      <w:pPr>
        <w:pStyle w:val="CorpsA"/>
        <w:spacing w:line="360" w:lineRule="auto"/>
        <w:ind w:firstLine="720"/>
        <w:jc w:val="both"/>
        <w:rPr>
          <w:rFonts w:ascii="Times New Roman" w:eastAsia="Times New Roman" w:hAnsi="Times New Roman" w:cs="Times New Roman"/>
        </w:rPr>
      </w:pPr>
    </w:p>
    <w:p w14:paraId="30461018" w14:textId="77777777" w:rsidR="00220B0E" w:rsidRPr="00937052" w:rsidRDefault="007B3C01" w:rsidP="00AF79FC">
      <w:pPr>
        <w:pStyle w:val="ListParagraph"/>
        <w:numPr>
          <w:ilvl w:val="0"/>
          <w:numId w:val="2"/>
        </w:numPr>
        <w:spacing w:line="360" w:lineRule="auto"/>
        <w:rPr>
          <w:rFonts w:ascii="Times New Roman" w:eastAsia="Times New Roman" w:hAnsi="Times New Roman" w:cs="Times New Roman"/>
          <w:b/>
          <w:bCs/>
        </w:rPr>
      </w:pPr>
      <w:r w:rsidRPr="00937052">
        <w:rPr>
          <w:rFonts w:ascii="Times New Roman" w:hAnsi="Times New Roman"/>
          <w:b/>
          <w:bCs/>
        </w:rPr>
        <w:lastRenderedPageBreak/>
        <w:t>Inventivité conceptuelle dans Intermédialités</w:t>
      </w:r>
      <w:r w:rsidRPr="00937052">
        <w:rPr>
          <w:rFonts w:ascii="Arial Unicode MS" w:eastAsia="Arial Unicode MS" w:hAnsi="Arial Unicode MS" w:cs="Arial Unicode MS"/>
        </w:rPr>
        <w:br/>
      </w:r>
    </w:p>
    <w:p w14:paraId="0AE436A6" w14:textId="1A7BCD42" w:rsidR="00220B0E" w:rsidRPr="00937052" w:rsidRDefault="007C44F8">
      <w:pPr>
        <w:pStyle w:val="CorpsA"/>
        <w:spacing w:line="360" w:lineRule="auto"/>
        <w:ind w:firstLine="720"/>
        <w:jc w:val="both"/>
        <w:rPr>
          <w:rFonts w:ascii="Times New Roman" w:eastAsia="Times New Roman" w:hAnsi="Times New Roman" w:cs="Times New Roman"/>
        </w:rPr>
      </w:pPr>
      <w:r w:rsidRPr="00937052">
        <w:rPr>
          <w:rFonts w:ascii="Times New Roman" w:hAnsi="Times New Roman"/>
          <w:color w:val="FF0000"/>
        </w:rPr>
        <w:t>[slide</w:t>
      </w:r>
      <w:r w:rsidR="00F83839" w:rsidRPr="00937052">
        <w:rPr>
          <w:rFonts w:ascii="Times New Roman" w:hAnsi="Times New Roman"/>
          <w:color w:val="FF0000"/>
        </w:rPr>
        <w:t xml:space="preserve">] </w:t>
      </w:r>
      <w:r w:rsidR="00337E21" w:rsidRPr="00937052">
        <w:rPr>
          <w:rFonts w:ascii="Times New Roman" w:hAnsi="Times New Roman"/>
        </w:rPr>
        <w:t>D</w:t>
      </w:r>
      <w:r w:rsidR="007B3C01" w:rsidRPr="00937052">
        <w:rPr>
          <w:rFonts w:ascii="Times New Roman" w:hAnsi="Times New Roman"/>
        </w:rPr>
        <w:t>epuis maintenant près d’un an, nous travaillons à l’établissement d’une base de données dont le but est triple : premièrement, il s’agit de rendre compte de l’évolution de la revue en rendant visible la contribution de sa richesse conceptuelle au développement de la pensée sur l’intermédialité. Deuxièmement, nous nous donnons pour but d’établir un dialogue transversal entre les 25+ numéros de la revue et, ainsi, de rendre possible un nouveau mode d’</w:t>
      </w:r>
      <w:r w:rsidR="007B3C01" w:rsidRPr="00937052">
        <w:rPr>
          <w:rFonts w:ascii="Times New Roman" w:hAnsi="Times New Roman"/>
          <w:lang w:val="it-IT"/>
        </w:rPr>
        <w:t>acc</w:t>
      </w:r>
      <w:r w:rsidR="007B3C01" w:rsidRPr="00937052">
        <w:rPr>
          <w:rFonts w:ascii="Times New Roman" w:hAnsi="Times New Roman"/>
        </w:rPr>
        <w:t>ès aux contenus de la revue (un accès aux numéros et articles qui ne sera plus linéaire mais qui se fera, au contraire, par associations d’idées en partant des diffé</w:t>
      </w:r>
      <w:r w:rsidR="007B3C01" w:rsidRPr="00937052">
        <w:rPr>
          <w:rFonts w:ascii="Times New Roman" w:hAnsi="Times New Roman"/>
          <w:lang w:val="pt-PT"/>
        </w:rPr>
        <w:t>rentes cat</w:t>
      </w:r>
      <w:r w:rsidR="007B3C01" w:rsidRPr="00937052">
        <w:rPr>
          <w:rFonts w:ascii="Times New Roman" w:hAnsi="Times New Roman"/>
        </w:rPr>
        <w:t xml:space="preserve">égories de la base de données). Enfin, nous espérons que cette base de données servira de point de départ pour l’établissement d’un lexique sur l’intermédialité qui dépassera les confins de la revue pour aller se nourrir dans d’autres bases de données et qui sera également ouvert au </w:t>
      </w:r>
      <w:r w:rsidR="007B3C01" w:rsidRPr="00937052">
        <w:rPr>
          <w:rFonts w:ascii="Times New Roman" w:hAnsi="Times New Roman"/>
          <w:i/>
          <w:iCs/>
          <w:lang w:val="fr-CA"/>
        </w:rPr>
        <w:t xml:space="preserve">crowdsourcing </w:t>
      </w:r>
      <w:r w:rsidR="007B3C01" w:rsidRPr="00937052">
        <w:rPr>
          <w:rFonts w:ascii="Times New Roman" w:hAnsi="Times New Roman"/>
        </w:rPr>
        <w:t>en invitant la participation de chercheurs internationaux dont les recherches portent sur l’intermédialité.</w:t>
      </w:r>
    </w:p>
    <w:p w14:paraId="70112E2E" w14:textId="77777777" w:rsidR="00220B0E" w:rsidRPr="00937052" w:rsidRDefault="007B3C01">
      <w:pPr>
        <w:pStyle w:val="CorpsA"/>
        <w:spacing w:line="360" w:lineRule="auto"/>
        <w:ind w:firstLine="720"/>
        <w:jc w:val="both"/>
        <w:rPr>
          <w:rFonts w:ascii="Times New Roman" w:eastAsia="Times New Roman" w:hAnsi="Times New Roman" w:cs="Times New Roman"/>
        </w:rPr>
      </w:pPr>
      <w:r w:rsidRPr="00937052">
        <w:rPr>
          <w:rFonts w:ascii="Times New Roman" w:hAnsi="Times New Roman"/>
        </w:rPr>
        <w:t>Il faut souligner que les données utilisées pour la constitution de cette base de données sont différentes des mé</w:t>
      </w:r>
      <w:r w:rsidRPr="00937052">
        <w:rPr>
          <w:rFonts w:ascii="Times New Roman" w:hAnsi="Times New Roman"/>
          <w:lang w:val="es-ES_tradnl"/>
        </w:rPr>
        <w:t>tadonn</w:t>
      </w:r>
      <w:r w:rsidRPr="00937052">
        <w:rPr>
          <w:rFonts w:ascii="Times New Roman" w:hAnsi="Times New Roman"/>
        </w:rPr>
        <w:t>é</w:t>
      </w:r>
      <w:r w:rsidRPr="00937052">
        <w:rPr>
          <w:rFonts w:ascii="Times New Roman" w:hAnsi="Times New Roman"/>
          <w:lang w:val="es-ES_tradnl"/>
        </w:rPr>
        <w:t>es que l</w:t>
      </w:r>
      <w:r w:rsidRPr="00937052">
        <w:rPr>
          <w:rFonts w:ascii="Times New Roman" w:hAnsi="Times New Roman"/>
        </w:rPr>
        <w:t xml:space="preserve">’on récolterait normalement pour une telle entreprise. En effet, nous nous efforçons de réfléchir à un type de données qui ne pourraient </w:t>
      </w:r>
      <w:r w:rsidRPr="00937052">
        <w:rPr>
          <w:rFonts w:ascii="Times New Roman" w:hAnsi="Times New Roman"/>
          <w:i/>
          <w:iCs/>
        </w:rPr>
        <w:t>pas</w:t>
      </w:r>
      <w:r w:rsidRPr="00937052">
        <w:rPr>
          <w:rFonts w:ascii="Times New Roman" w:hAnsi="Times New Roman"/>
        </w:rPr>
        <w:t>, au jour d’aujourd’hui, être ré</w:t>
      </w:r>
      <w:r w:rsidRPr="00937052">
        <w:rPr>
          <w:rFonts w:ascii="Times New Roman" w:hAnsi="Times New Roman"/>
          <w:lang w:val="it-IT"/>
        </w:rPr>
        <w:t>colt</w:t>
      </w:r>
      <w:r w:rsidRPr="00937052">
        <w:rPr>
          <w:rFonts w:ascii="Times New Roman" w:hAnsi="Times New Roman"/>
        </w:rPr>
        <w:t>ées de façon automatique. Au contraire, nous nous employons à définir un jeu de critères adaptés à la dé</w:t>
      </w:r>
      <w:r w:rsidRPr="00937052">
        <w:rPr>
          <w:rFonts w:ascii="Times New Roman" w:hAnsi="Times New Roman"/>
          <w:lang w:val="it-IT"/>
        </w:rPr>
        <w:t>marche interm</w:t>
      </w:r>
      <w:r w:rsidRPr="00937052">
        <w:rPr>
          <w:rFonts w:ascii="Times New Roman" w:hAnsi="Times New Roman"/>
        </w:rPr>
        <w:t>édiale et qui seraient plus à même de rendre compte des dimensions créatives mises en évidences dans les articles et introductions de la revue. Ainsi, en nous intéressant aux questions de médialité et de médiation qui, comme l’expliquait Marion, permettent une lecture mé</w:t>
      </w:r>
      <w:r w:rsidRPr="00937052">
        <w:rPr>
          <w:rFonts w:ascii="Times New Roman" w:hAnsi="Times New Roman"/>
          <w:lang w:val="fr-CA"/>
        </w:rPr>
        <w:t>ta-th</w:t>
      </w:r>
      <w:r w:rsidRPr="00937052">
        <w:rPr>
          <w:rFonts w:ascii="Times New Roman" w:hAnsi="Times New Roman"/>
        </w:rPr>
        <w:t>éorique des recherches publiées dans la revue, nous cherchons à identifier des éléments qui illustreraient l’inventivité conceptuelle de nos auteurs. Comme nous l’avons mentionné plus tô</w:t>
      </w:r>
      <w:r w:rsidRPr="00937052">
        <w:rPr>
          <w:rFonts w:ascii="Times New Roman" w:hAnsi="Times New Roman"/>
          <w:lang w:val="it-IT"/>
        </w:rPr>
        <w:t>t, il s</w:t>
      </w:r>
      <w:r w:rsidRPr="00937052">
        <w:rPr>
          <w:rFonts w:ascii="Times New Roman" w:hAnsi="Times New Roman"/>
        </w:rPr>
        <w:t>’agit à la fois d’un certain type d’objets d’é</w:t>
      </w:r>
      <w:r w:rsidRPr="00937052">
        <w:rPr>
          <w:rFonts w:ascii="Times New Roman" w:hAnsi="Times New Roman"/>
          <w:lang w:val="it-IT"/>
        </w:rPr>
        <w:t xml:space="preserve">tudes, propres </w:t>
      </w:r>
      <w:r w:rsidRPr="00937052">
        <w:rPr>
          <w:rFonts w:ascii="Times New Roman" w:hAnsi="Times New Roman"/>
        </w:rPr>
        <w:t>à l’</w:t>
      </w:r>
      <w:r w:rsidRPr="00937052">
        <w:rPr>
          <w:rFonts w:ascii="Times New Roman" w:hAnsi="Times New Roman"/>
          <w:lang w:val="it-IT"/>
        </w:rPr>
        <w:t>approche interm</w:t>
      </w:r>
      <w:r w:rsidRPr="00937052">
        <w:rPr>
          <w:rFonts w:ascii="Times New Roman" w:hAnsi="Times New Roman"/>
        </w:rPr>
        <w:t>édiale, et des méthodes qui créent ces objets d’étude, surtout dans le cas de ce que nous avons appelé les « opérateurs de médiations », ces objets qui portent en eux les outils théoriques nécessaires à leur propre dé</w:t>
      </w:r>
      <w:r w:rsidRPr="00937052">
        <w:rPr>
          <w:rFonts w:ascii="Times New Roman" w:hAnsi="Times New Roman"/>
          <w:lang w:val="it-IT"/>
        </w:rPr>
        <w:t xml:space="preserve">chiffrement.    </w:t>
      </w:r>
    </w:p>
    <w:p w14:paraId="5E259D89" w14:textId="1A7E1C4B" w:rsidR="00220B0E" w:rsidRPr="00937052" w:rsidRDefault="00F83839">
      <w:pPr>
        <w:pStyle w:val="CorpsA"/>
        <w:spacing w:line="360" w:lineRule="auto"/>
        <w:ind w:firstLine="720"/>
        <w:jc w:val="both"/>
        <w:rPr>
          <w:rFonts w:ascii="Times New Roman" w:eastAsia="Times New Roman" w:hAnsi="Times New Roman" w:cs="Times New Roman"/>
        </w:rPr>
      </w:pPr>
      <w:r w:rsidRPr="00937052">
        <w:rPr>
          <w:rFonts w:ascii="Times New Roman" w:hAnsi="Times New Roman"/>
          <w:color w:val="FF0000"/>
        </w:rPr>
        <w:t xml:space="preserve">[slide] </w:t>
      </w:r>
      <w:r w:rsidR="007B3C01" w:rsidRPr="00937052">
        <w:rPr>
          <w:rFonts w:ascii="Times New Roman" w:hAnsi="Times New Roman"/>
        </w:rPr>
        <w:t xml:space="preserve">Pour ce faire, nous avons établi les catégories de « concepts de travail » et de « concepts idiosyncratiques/pépites ». La notion de « concept de travail » veut mettre en lumière les nombreuses strates disciplinaires, méthodologiques et conceptuelles, ainsi </w:t>
      </w:r>
      <w:r w:rsidR="007B3C01" w:rsidRPr="00937052">
        <w:rPr>
          <w:rFonts w:ascii="Times New Roman" w:hAnsi="Times New Roman"/>
        </w:rPr>
        <w:lastRenderedPageBreak/>
        <w:t>que les recoupements entre champs de recherches, qui tiennent une place importante dans l’</w:t>
      </w:r>
      <w:r w:rsidR="007B3C01" w:rsidRPr="00937052">
        <w:rPr>
          <w:rFonts w:ascii="Times New Roman" w:hAnsi="Times New Roman"/>
          <w:lang w:val="it-IT"/>
        </w:rPr>
        <w:t>approche interm</w:t>
      </w:r>
      <w:r w:rsidR="007B3C01" w:rsidRPr="00937052">
        <w:rPr>
          <w:rFonts w:ascii="Times New Roman" w:hAnsi="Times New Roman"/>
        </w:rPr>
        <w:t>édiale, tandis que la notion de « concept idiosyncratique/pépite » vise à mettre en valeur la richesse et la cré</w:t>
      </w:r>
      <w:r w:rsidR="007B3C01" w:rsidRPr="00937052">
        <w:rPr>
          <w:rFonts w:ascii="Times New Roman" w:hAnsi="Times New Roman"/>
          <w:lang w:val="it-IT"/>
        </w:rPr>
        <w:t>ativit</w:t>
      </w:r>
      <w:r w:rsidR="007B3C01" w:rsidRPr="00937052">
        <w:rPr>
          <w:rFonts w:ascii="Times New Roman" w:hAnsi="Times New Roman"/>
        </w:rPr>
        <w:t>é conceptuelles qui caractérisent la recherche intermé</w:t>
      </w:r>
      <w:r w:rsidR="007B3C01" w:rsidRPr="00937052">
        <w:rPr>
          <w:rFonts w:ascii="Times New Roman" w:hAnsi="Times New Roman"/>
          <w:lang w:val="it-IT"/>
        </w:rPr>
        <w:t>diale. C</w:t>
      </w:r>
      <w:r w:rsidR="007B3C01" w:rsidRPr="00937052">
        <w:rPr>
          <w:rFonts w:ascii="Times New Roman" w:hAnsi="Times New Roman"/>
        </w:rPr>
        <w:t xml:space="preserve">’est sur cette dernière que je veux terminer cette présentation puisqu’il s’agit là de la marque la plus claire de l’inventivité conceptuelle de nos auteurs. </w:t>
      </w:r>
    </w:p>
    <w:p w14:paraId="6419704D" w14:textId="77777777" w:rsidR="00220B0E" w:rsidRPr="00937052" w:rsidRDefault="007B3C01">
      <w:pPr>
        <w:pStyle w:val="CorpsA"/>
        <w:spacing w:line="360" w:lineRule="auto"/>
        <w:ind w:firstLine="720"/>
        <w:jc w:val="both"/>
        <w:rPr>
          <w:rFonts w:ascii="Times New Roman" w:eastAsia="Times New Roman" w:hAnsi="Times New Roman" w:cs="Times New Roman"/>
        </w:rPr>
      </w:pPr>
      <w:r w:rsidRPr="00937052">
        <w:rPr>
          <w:rFonts w:ascii="Times New Roman" w:hAnsi="Times New Roman"/>
        </w:rPr>
        <w:t>En effet, une bonne portion des articles publiés dans la revue proposent, de faç</w:t>
      </w:r>
      <w:r w:rsidRPr="00937052">
        <w:rPr>
          <w:rFonts w:ascii="Times New Roman" w:hAnsi="Times New Roman"/>
          <w:lang w:val="pt-PT"/>
        </w:rPr>
        <w:t>on explicite ou implicite, en d</w:t>
      </w:r>
      <w:r w:rsidRPr="00937052">
        <w:rPr>
          <w:rFonts w:ascii="Times New Roman" w:hAnsi="Times New Roman"/>
        </w:rPr>
        <w:t>étail ou en passant, de nouveaux concepts qui sont parfois poétiques ou enjoués mais toujours originaux, et ce même si leurs définitions et champs d’applications ne sont pas toujours clairement déterminés. Ainsi, à titre d’exemple, nous pouvons énumérer : le fameux « être-entre » ou « inter-esse » de l’intermédialité</w:t>
      </w:r>
      <w:r w:rsidRPr="00937052">
        <w:rPr>
          <w:rFonts w:ascii="Times New Roman" w:hAnsi="Times New Roman"/>
          <w:lang w:val="fr-CA"/>
        </w:rPr>
        <w:t>, th</w:t>
      </w:r>
      <w:r w:rsidRPr="00937052">
        <w:rPr>
          <w:rFonts w:ascii="Times New Roman" w:hAnsi="Times New Roman"/>
        </w:rPr>
        <w:t>éorisé par Éric Méchoulan dans son introduction au premier numé</w:t>
      </w:r>
      <w:r w:rsidRPr="00937052">
        <w:rPr>
          <w:rFonts w:ascii="Times New Roman" w:hAnsi="Times New Roman"/>
          <w:lang w:val="es-ES_tradnl"/>
        </w:rPr>
        <w:t xml:space="preserve">ro de la revue, </w:t>
      </w:r>
      <w:r w:rsidRPr="00937052">
        <w:rPr>
          <w:rFonts w:ascii="Times New Roman" w:hAnsi="Times New Roman"/>
        </w:rPr>
        <w:t>« Naître », où l’on trouve également les concepts originaux de « production de présence », « dispositif sensible », « pli du temps », etc. D’autres exemples incluent : les concepts de « mé</w:t>
      </w:r>
      <w:r w:rsidRPr="00937052">
        <w:rPr>
          <w:rFonts w:ascii="Times New Roman" w:hAnsi="Times New Roman"/>
          <w:lang w:val="pt-PT"/>
        </w:rPr>
        <w:t>dium minimal (crystal d</w:t>
      </w:r>
      <w:r w:rsidRPr="00937052">
        <w:rPr>
          <w:rFonts w:ascii="Times New Roman" w:hAnsi="Times New Roman"/>
        </w:rPr>
        <w:t>éictique et inframince) », « produit-trace », « entre-vision » et « </w:t>
      </w:r>
      <w:r w:rsidRPr="00937052">
        <w:rPr>
          <w:rFonts w:ascii="Times New Roman" w:hAnsi="Times New Roman"/>
          <w:lang w:val="it-IT"/>
        </w:rPr>
        <w:t>plicature</w:t>
      </w:r>
      <w:r w:rsidRPr="00937052">
        <w:rPr>
          <w:rFonts w:ascii="Times New Roman" w:hAnsi="Times New Roman"/>
        </w:rPr>
        <w:t> »  dans le texte « La transparence : obséssion et mé</w:t>
      </w:r>
      <w:r w:rsidRPr="00937052">
        <w:rPr>
          <w:rFonts w:ascii="Times New Roman" w:hAnsi="Times New Roman"/>
          <w:lang w:val="fr-CA"/>
        </w:rPr>
        <w:t>tamorphose</w:t>
      </w:r>
      <w:r w:rsidRPr="00937052">
        <w:rPr>
          <w:rFonts w:ascii="Times New Roman" w:hAnsi="Times New Roman"/>
        </w:rPr>
        <w:t> » de Mireille Buydens (numéro 3, Devenir-Bergson).</w:t>
      </w:r>
    </w:p>
    <w:p w14:paraId="3EF62A84" w14:textId="39F126F2"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eastAsia="Times New Roman" w:hAnsi="Times New Roman" w:cs="Times New Roman"/>
          <w:lang w:val="it-IT"/>
        </w:rPr>
        <w:tab/>
        <w:t>Si l</w:t>
      </w:r>
      <w:r w:rsidRPr="00937052">
        <w:rPr>
          <w:rFonts w:ascii="Times New Roman" w:hAnsi="Times New Roman"/>
        </w:rPr>
        <w:t>’on revient à notre exemple précédent – l’étude de cas des études de cas dans l’</w:t>
      </w:r>
      <w:r w:rsidRPr="00937052">
        <w:rPr>
          <w:rFonts w:ascii="Times New Roman" w:hAnsi="Times New Roman"/>
          <w:lang w:val="nl-NL"/>
        </w:rPr>
        <w:t xml:space="preserve">article de Sluijs et Smelik </w:t>
      </w:r>
      <w:r w:rsidRPr="00937052">
        <w:rPr>
          <w:rFonts w:ascii="Times New Roman" w:hAnsi="Times New Roman"/>
        </w:rPr>
        <w:t>– la démarche qui nous mène à repérer des pépites devient transparente : d’un côté, le cadre théorique de l’article selong lequel Sluijs et Smelik s’appliquent à présenter de façon particulièrement organisée et détaillée les fondements théoriques de leur contribution. De l’autre côté, leur contribution propre, ces deux concepts complémentaires présenté</w:t>
      </w:r>
      <w:r w:rsidRPr="00937052">
        <w:rPr>
          <w:rFonts w:ascii="Times New Roman" w:hAnsi="Times New Roman"/>
          <w:lang w:val="es-ES_tradnl"/>
        </w:rPr>
        <w:t>s en d</w:t>
      </w:r>
      <w:r w:rsidRPr="00937052">
        <w:rPr>
          <w:rFonts w:ascii="Times New Roman" w:hAnsi="Times New Roman"/>
        </w:rPr>
        <w:t>é</w:t>
      </w:r>
      <w:r w:rsidRPr="00937052">
        <w:rPr>
          <w:rFonts w:ascii="Times New Roman" w:hAnsi="Times New Roman"/>
          <w:lang w:val="fr-CA"/>
        </w:rPr>
        <w:t>but d</w:t>
      </w:r>
      <w:r w:rsidRPr="00937052">
        <w:rPr>
          <w:rFonts w:ascii="Times New Roman" w:hAnsi="Times New Roman"/>
        </w:rPr>
        <w:t>’article puis théorisés tout du long</w:t>
      </w:r>
      <w:r w:rsidR="00337E21" w:rsidRPr="00937052">
        <w:rPr>
          <w:rFonts w:ascii="Times New Roman" w:hAnsi="Times New Roman"/>
        </w:rPr>
        <w:t xml:space="preserve"> </w:t>
      </w:r>
      <w:r w:rsidRPr="00937052">
        <w:rPr>
          <w:rFonts w:ascii="Times New Roman" w:hAnsi="Times New Roman"/>
          <w:lang w:val="de-DE"/>
        </w:rPr>
        <w:t xml:space="preserve">:  </w:t>
      </w:r>
      <w:r w:rsidR="00E877A3" w:rsidRPr="00937052">
        <w:rPr>
          <w:rFonts w:ascii="Times New Roman" w:eastAsia="Times New Roman" w:hAnsi="Times New Roman" w:cs="Times New Roman"/>
          <w:color w:val="FF0000"/>
          <w:lang w:val="it-IT"/>
        </w:rPr>
        <w:t xml:space="preserve">[slide] </w:t>
      </w:r>
      <w:r w:rsidRPr="00937052">
        <w:rPr>
          <w:rFonts w:ascii="Times New Roman" w:hAnsi="Times New Roman"/>
        </w:rPr>
        <w:t>« </w:t>
      </w:r>
      <w:r w:rsidRPr="00937052">
        <w:rPr>
          <w:rFonts w:ascii="Times New Roman" w:hAnsi="Times New Roman"/>
          <w:lang w:val="it-IT"/>
        </w:rPr>
        <w:t>introverted</w:t>
      </w:r>
      <w:r w:rsidRPr="00937052">
        <w:rPr>
          <w:rFonts w:ascii="Times New Roman" w:hAnsi="Times New Roman"/>
        </w:rPr>
        <w:t xml:space="preserve"> » </w:t>
      </w:r>
      <w:r w:rsidRPr="00937052">
        <w:rPr>
          <w:rFonts w:ascii="Times New Roman" w:hAnsi="Times New Roman"/>
          <w:lang w:val="fr-CA"/>
        </w:rPr>
        <w:t xml:space="preserve">and </w:t>
      </w:r>
      <w:r w:rsidRPr="00937052">
        <w:rPr>
          <w:rFonts w:ascii="Times New Roman" w:hAnsi="Times New Roman"/>
        </w:rPr>
        <w:t>« </w:t>
      </w:r>
      <w:r w:rsidRPr="00937052">
        <w:rPr>
          <w:rFonts w:ascii="Times New Roman" w:hAnsi="Times New Roman"/>
          <w:lang w:val="it-IT"/>
        </w:rPr>
        <w:t>extraverted</w:t>
      </w:r>
      <w:r w:rsidRPr="00937052">
        <w:rPr>
          <w:rFonts w:ascii="Times New Roman" w:hAnsi="Times New Roman"/>
        </w:rPr>
        <w:t xml:space="preserve">  </w:t>
      </w:r>
      <w:r w:rsidRPr="00937052">
        <w:rPr>
          <w:rFonts w:ascii="Times New Roman" w:hAnsi="Times New Roman"/>
          <w:lang w:val="fr-CA"/>
        </w:rPr>
        <w:t>intermediality</w:t>
      </w:r>
      <w:r w:rsidRPr="00937052">
        <w:rPr>
          <w:rFonts w:ascii="Times New Roman" w:hAnsi="Times New Roman"/>
        </w:rPr>
        <w:t xml:space="preserve"> ». Pour Sluijs et Smelik, </w:t>
      </w:r>
      <w:r w:rsidRPr="00937052">
        <w:rPr>
          <w:rFonts w:ascii="Times New Roman" w:hAnsi="Times New Roman"/>
          <w:i/>
          <w:iCs/>
          <w:lang w:val="fr-CA"/>
        </w:rPr>
        <w:t xml:space="preserve">Son-O-House </w:t>
      </w:r>
      <w:r w:rsidRPr="00937052">
        <w:rPr>
          <w:rFonts w:ascii="Times New Roman" w:hAnsi="Times New Roman"/>
        </w:rPr>
        <w:t>est un exemple de « </w:t>
      </w:r>
      <w:r w:rsidRPr="00937052">
        <w:rPr>
          <w:rFonts w:ascii="Times New Roman" w:hAnsi="Times New Roman"/>
          <w:lang w:val="fr-CA"/>
        </w:rPr>
        <w:t>introverted intermediality</w:t>
      </w:r>
      <w:r w:rsidRPr="00937052">
        <w:rPr>
          <w:rFonts w:ascii="Times New Roman" w:hAnsi="Times New Roman"/>
        </w:rPr>
        <w:t> » que, reprenant les mots de Santini dans un article publié dans la revue, les auteurs définissent comme approchant de la « fluidité de l’être », du « processus fluide qui caractérise la vie elle-même » (Sluijs et Smelik, p.184). De cette façon, la pépite de « </w:t>
      </w:r>
      <w:r w:rsidRPr="00937052">
        <w:rPr>
          <w:rFonts w:ascii="Times New Roman" w:hAnsi="Times New Roman"/>
          <w:lang w:val="fr-CA"/>
        </w:rPr>
        <w:t>introverted intermediality</w:t>
      </w:r>
      <w:r w:rsidRPr="00937052">
        <w:rPr>
          <w:rFonts w:ascii="Times New Roman" w:hAnsi="Times New Roman"/>
        </w:rPr>
        <w:t> » en vient à représenter une alternative selon laquelle désigner les éléments d’auto-réfé</w:t>
      </w:r>
      <w:r w:rsidRPr="00937052">
        <w:rPr>
          <w:rFonts w:ascii="Times New Roman" w:hAnsi="Times New Roman"/>
          <w:lang w:val="fr-CA"/>
        </w:rPr>
        <w:t>rentialit</w:t>
      </w:r>
      <w:r w:rsidRPr="00937052">
        <w:rPr>
          <w:rFonts w:ascii="Times New Roman" w:hAnsi="Times New Roman"/>
        </w:rPr>
        <w:t xml:space="preserve">é et de participation active qui sont les principes d’organisation de </w:t>
      </w:r>
      <w:r w:rsidRPr="00937052">
        <w:rPr>
          <w:rFonts w:ascii="Times New Roman" w:hAnsi="Times New Roman"/>
          <w:i/>
          <w:iCs/>
          <w:lang w:val="fr-CA"/>
        </w:rPr>
        <w:t xml:space="preserve">Son-O-House </w:t>
      </w:r>
      <w:r w:rsidRPr="00937052">
        <w:rPr>
          <w:rFonts w:ascii="Times New Roman" w:hAnsi="Times New Roman"/>
        </w:rPr>
        <w:t xml:space="preserve">(voir Sluijs et Smelik, p.189). </w:t>
      </w:r>
    </w:p>
    <w:p w14:paraId="04C9DD0D" w14:textId="73102F60"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eastAsia="Times New Roman" w:hAnsi="Times New Roman" w:cs="Times New Roman"/>
        </w:rPr>
        <w:tab/>
        <w:t>Il en est de m</w:t>
      </w:r>
      <w:r w:rsidRPr="00937052">
        <w:rPr>
          <w:rFonts w:ascii="Times New Roman" w:hAnsi="Times New Roman"/>
        </w:rPr>
        <w:t>ême pour l’image mirroirique de cette pépite, à savoir le concept de « </w:t>
      </w:r>
      <w:r w:rsidRPr="00937052">
        <w:rPr>
          <w:rFonts w:ascii="Times New Roman" w:hAnsi="Times New Roman"/>
          <w:lang w:val="fr-CA"/>
        </w:rPr>
        <w:t>extraverted intermediality</w:t>
      </w:r>
      <w:r w:rsidRPr="00937052">
        <w:rPr>
          <w:rFonts w:ascii="Times New Roman" w:hAnsi="Times New Roman"/>
        </w:rPr>
        <w:t xml:space="preserve"> ». Ici, les auteurs démontrent comment, en opposition au </w:t>
      </w:r>
      <w:r w:rsidRPr="00937052">
        <w:rPr>
          <w:rFonts w:ascii="Times New Roman" w:hAnsi="Times New Roman"/>
        </w:rPr>
        <w:lastRenderedPageBreak/>
        <w:t xml:space="preserve">mouvement vectoriel </w:t>
      </w:r>
      <w:r w:rsidRPr="00937052">
        <w:rPr>
          <w:rFonts w:ascii="Times New Roman" w:hAnsi="Times New Roman"/>
          <w:i/>
          <w:iCs/>
        </w:rPr>
        <w:t xml:space="preserve">vers l’intérieur </w:t>
      </w:r>
      <w:r w:rsidRPr="00937052">
        <w:rPr>
          <w:rFonts w:ascii="Times New Roman" w:hAnsi="Times New Roman"/>
        </w:rPr>
        <w:t xml:space="preserve">de </w:t>
      </w:r>
      <w:r w:rsidRPr="00937052">
        <w:rPr>
          <w:rFonts w:ascii="Times New Roman" w:hAnsi="Times New Roman"/>
          <w:i/>
          <w:iCs/>
          <w:lang w:val="fr-CA"/>
        </w:rPr>
        <w:t>Son-O-House</w:t>
      </w:r>
      <w:r w:rsidRPr="00937052">
        <w:rPr>
          <w:rFonts w:ascii="Times New Roman" w:hAnsi="Times New Roman"/>
        </w:rPr>
        <w:t xml:space="preserve">, </w:t>
      </w:r>
      <w:r w:rsidRPr="00937052">
        <w:rPr>
          <w:rFonts w:ascii="Times New Roman" w:hAnsi="Times New Roman"/>
          <w:i/>
          <w:iCs/>
          <w:lang w:val="fr-CA"/>
        </w:rPr>
        <w:t xml:space="preserve">Elephants Dream </w:t>
      </w:r>
      <w:r w:rsidRPr="00937052">
        <w:rPr>
          <w:rFonts w:ascii="Times New Roman" w:hAnsi="Times New Roman"/>
        </w:rPr>
        <w:t>est tout entier dirigé vers l’extérieur, vers la production d’une nouvelle expérience affective pour le spectateur (voir Sluijs et Smelik, p. 193). C’est ici, véritablement, que la notion d’affect rencontre l’intermédialité</w:t>
      </w:r>
      <w:r w:rsidRPr="00937052">
        <w:rPr>
          <w:rFonts w:ascii="Times New Roman" w:hAnsi="Times New Roman"/>
          <w:color w:val="FF0000"/>
        </w:rPr>
        <w:t> </w:t>
      </w:r>
      <w:r w:rsidR="00F83839" w:rsidRPr="00937052">
        <w:rPr>
          <w:rFonts w:ascii="Times New Roman" w:hAnsi="Times New Roman"/>
          <w:color w:val="FF0000"/>
        </w:rPr>
        <w:t xml:space="preserve">[slide] </w:t>
      </w:r>
      <w:r w:rsidRPr="00937052">
        <w:rPr>
          <w:rFonts w:ascii="Times New Roman" w:hAnsi="Times New Roman"/>
        </w:rPr>
        <w:t>:</w:t>
      </w:r>
    </w:p>
    <w:p w14:paraId="4F32000F" w14:textId="77777777" w:rsidR="00220B0E" w:rsidRPr="00937052" w:rsidRDefault="007B3C01">
      <w:pPr>
        <w:pStyle w:val="CorpsA"/>
        <w:widowControl w:val="0"/>
        <w:ind w:left="708"/>
        <w:rPr>
          <w:rFonts w:ascii="Times New Roman" w:eastAsia="Times New Roman" w:hAnsi="Times New Roman" w:cs="Times New Roman"/>
          <w:lang w:val="en-CA"/>
        </w:rPr>
      </w:pPr>
      <w:r w:rsidRPr="00937052">
        <w:rPr>
          <w:rFonts w:ascii="Times New Roman" w:hAnsi="Times New Roman"/>
          <w:lang w:val="en-US"/>
        </w:rPr>
        <w:t>Affect offers an alternative to narrative perception and linear closure and thus challenges more traditional subject positions for the spectator or user. Affect as an effect of extraverted intermediality may help to rethink the spectator or user position in terms of affinity and intensity, rather than distance and detachment (</w:t>
      </w:r>
      <w:r w:rsidRPr="00937052">
        <w:rPr>
          <w:rFonts w:ascii="Times New Roman" w:hAnsi="Times New Roman"/>
          <w:lang w:val="nl-NL"/>
        </w:rPr>
        <w:t>Sluijs et Smelik, p. 196)</w:t>
      </w:r>
      <w:r w:rsidRPr="00937052">
        <w:rPr>
          <w:rFonts w:ascii="Times New Roman" w:hAnsi="Times New Roman"/>
          <w:lang w:val="en-US"/>
        </w:rPr>
        <w:t>.</w:t>
      </w:r>
    </w:p>
    <w:p w14:paraId="4C390C1A" w14:textId="77777777" w:rsidR="00220B0E" w:rsidRPr="00937052" w:rsidRDefault="00220B0E">
      <w:pPr>
        <w:pStyle w:val="CorpsA"/>
        <w:spacing w:line="360" w:lineRule="auto"/>
        <w:jc w:val="both"/>
        <w:rPr>
          <w:rFonts w:ascii="Times New Roman" w:eastAsia="Times New Roman" w:hAnsi="Times New Roman" w:cs="Times New Roman"/>
          <w:lang w:val="en-CA"/>
        </w:rPr>
      </w:pPr>
    </w:p>
    <w:p w14:paraId="43921451" w14:textId="77777777" w:rsidR="00220B0E" w:rsidRPr="00937052" w:rsidRDefault="007B3C01">
      <w:pPr>
        <w:pStyle w:val="CorpsA"/>
        <w:spacing w:line="360" w:lineRule="auto"/>
        <w:jc w:val="both"/>
        <w:rPr>
          <w:rFonts w:ascii="Times New Roman" w:eastAsia="Times New Roman" w:hAnsi="Times New Roman" w:cs="Times New Roman"/>
        </w:rPr>
      </w:pPr>
      <w:r w:rsidRPr="00937052">
        <w:rPr>
          <w:rFonts w:ascii="Times New Roman" w:eastAsia="Times New Roman" w:hAnsi="Times New Roman" w:cs="Times New Roman"/>
          <w:lang w:val="en-CA"/>
        </w:rPr>
        <w:tab/>
      </w:r>
      <w:r w:rsidRPr="00937052">
        <w:rPr>
          <w:rFonts w:ascii="Times New Roman" w:eastAsia="Times New Roman" w:hAnsi="Times New Roman" w:cs="Times New Roman"/>
        </w:rPr>
        <w:t>Enfin, dans le dernier paragraphe de leur article, les auteurs abordent frontalement la question de la vis</w:t>
      </w:r>
      <w:r w:rsidRPr="00937052">
        <w:rPr>
          <w:rFonts w:ascii="Times New Roman" w:hAnsi="Times New Roman"/>
        </w:rPr>
        <w:t>ée méthodologique de leur texte et de son rapport au développement de la thé</w:t>
      </w:r>
      <w:r w:rsidRPr="00937052">
        <w:rPr>
          <w:rFonts w:ascii="Times New Roman" w:hAnsi="Times New Roman"/>
          <w:lang w:val="nl-NL"/>
        </w:rPr>
        <w:t>orie interm</w:t>
      </w:r>
      <w:r w:rsidRPr="00937052">
        <w:rPr>
          <w:rFonts w:ascii="Times New Roman" w:hAnsi="Times New Roman"/>
        </w:rPr>
        <w:t>é</w:t>
      </w:r>
      <w:r w:rsidRPr="00937052">
        <w:rPr>
          <w:rFonts w:ascii="Times New Roman" w:hAnsi="Times New Roman"/>
          <w:lang w:val="it-IT"/>
        </w:rPr>
        <w:t>diale</w:t>
      </w:r>
      <w:r w:rsidRPr="00937052">
        <w:rPr>
          <w:rFonts w:ascii="Times New Roman" w:hAnsi="Times New Roman"/>
        </w:rPr>
        <w:t> : en parlant de « directions introverties et extraverties », les auteurs souhaitaient analyser les « registres dynamiques et rhizomiques » des œuvres en question. Dans la prochaine phrase, la volonté de contribuer directement au lexique de la thé</w:t>
      </w:r>
      <w:r w:rsidRPr="00937052">
        <w:rPr>
          <w:rFonts w:ascii="Times New Roman" w:hAnsi="Times New Roman"/>
          <w:lang w:val="nl-NL"/>
        </w:rPr>
        <w:t>orie interm</w:t>
      </w:r>
      <w:r w:rsidRPr="00937052">
        <w:rPr>
          <w:rFonts w:ascii="Times New Roman" w:hAnsi="Times New Roman"/>
        </w:rPr>
        <w:t xml:space="preserve">édiale est rendue explicite : </w:t>
      </w:r>
    </w:p>
    <w:p w14:paraId="56223D38" w14:textId="77777777" w:rsidR="00220B0E" w:rsidRPr="00937052" w:rsidRDefault="00220B0E">
      <w:pPr>
        <w:pStyle w:val="CorpsA"/>
        <w:spacing w:line="360" w:lineRule="auto"/>
        <w:jc w:val="both"/>
        <w:rPr>
          <w:rFonts w:ascii="Times New Roman" w:eastAsia="Times New Roman" w:hAnsi="Times New Roman" w:cs="Times New Roman"/>
        </w:rPr>
      </w:pPr>
    </w:p>
    <w:p w14:paraId="7A93665B" w14:textId="77777777" w:rsidR="00220B0E" w:rsidRPr="00937052" w:rsidRDefault="007B3C01" w:rsidP="00AF79FC">
      <w:pPr>
        <w:pStyle w:val="CorpsA"/>
        <w:ind w:left="708"/>
        <w:jc w:val="both"/>
        <w:rPr>
          <w:rFonts w:ascii="Times New Roman" w:eastAsia="Times New Roman" w:hAnsi="Times New Roman" w:cs="Times New Roman"/>
          <w:lang w:val="en-CA"/>
        </w:rPr>
      </w:pPr>
      <w:r w:rsidRPr="00937052">
        <w:rPr>
          <w:rFonts w:ascii="Times New Roman" w:hAnsi="Times New Roman"/>
          <w:lang w:val="en-US"/>
        </w:rPr>
        <w:t>our aim was to further develop the concept of intermediality and make</w:t>
      </w:r>
      <w:r w:rsidRPr="00937052">
        <w:rPr>
          <w:rFonts w:ascii="Times New Roman" w:hAnsi="Times New Roman"/>
          <w:lang w:val="en-CA"/>
        </w:rPr>
        <w:t xml:space="preserve"> </w:t>
      </w:r>
      <w:r w:rsidRPr="00937052">
        <w:rPr>
          <w:rFonts w:ascii="Times New Roman" w:hAnsi="Times New Roman"/>
          <w:lang w:val="en-US"/>
        </w:rPr>
        <w:t>it more precise, productive and effective for analyzing contemporary artworks. In our view, introversion and extroversion are helpful tools in understanding intermediality as a theorem</w:t>
      </w:r>
      <w:r w:rsidRPr="00937052">
        <w:rPr>
          <w:rFonts w:ascii="Times New Roman" w:hAnsi="Times New Roman"/>
          <w:lang w:val="en-CA"/>
        </w:rPr>
        <w:t xml:space="preserve"> (p.196).</w:t>
      </w:r>
    </w:p>
    <w:p w14:paraId="03CAA92C" w14:textId="77777777" w:rsidR="00220B0E" w:rsidRPr="00937052" w:rsidRDefault="00220B0E">
      <w:pPr>
        <w:pStyle w:val="CorpsA"/>
        <w:spacing w:line="360" w:lineRule="auto"/>
        <w:ind w:left="708"/>
        <w:jc w:val="both"/>
        <w:rPr>
          <w:rFonts w:ascii="Times New Roman" w:eastAsia="Times New Roman" w:hAnsi="Times New Roman" w:cs="Times New Roman"/>
          <w:lang w:val="en-CA"/>
        </w:rPr>
      </w:pPr>
    </w:p>
    <w:p w14:paraId="10C8B70F" w14:textId="77777777" w:rsidR="00220B0E" w:rsidRPr="00937052" w:rsidRDefault="007B3C01">
      <w:pPr>
        <w:pStyle w:val="CorpsA"/>
        <w:spacing w:line="360" w:lineRule="auto"/>
        <w:ind w:firstLine="708"/>
        <w:jc w:val="both"/>
        <w:rPr>
          <w:rFonts w:ascii="Times New Roman" w:eastAsia="Times New Roman" w:hAnsi="Times New Roman" w:cs="Times New Roman"/>
        </w:rPr>
      </w:pPr>
      <w:r w:rsidRPr="00937052">
        <w:rPr>
          <w:rFonts w:ascii="Times New Roman" w:hAnsi="Times New Roman"/>
        </w:rPr>
        <w:t>On retiendra, pour conclure cette présentation, la notion de « </w:t>
      </w:r>
      <w:r w:rsidRPr="00937052">
        <w:rPr>
          <w:rFonts w:ascii="Times New Roman" w:hAnsi="Times New Roman"/>
          <w:lang w:val="fr-CA"/>
        </w:rPr>
        <w:t>th</w:t>
      </w:r>
      <w:r w:rsidRPr="00937052">
        <w:rPr>
          <w:rFonts w:ascii="Times New Roman" w:hAnsi="Times New Roman"/>
        </w:rPr>
        <w:t>éorême » que les auteurs associent ici à l’intermédialité. On le comprend bien, le terme n’est pas à entendre, ici, dans sa dé</w:t>
      </w:r>
      <w:r w:rsidRPr="00937052">
        <w:rPr>
          <w:rFonts w:ascii="Times New Roman" w:hAnsi="Times New Roman"/>
          <w:lang w:val="fr-CA"/>
        </w:rPr>
        <w:t>finition math</w:t>
      </w:r>
      <w:r w:rsidRPr="00937052">
        <w:rPr>
          <w:rFonts w:ascii="Times New Roman" w:hAnsi="Times New Roman"/>
        </w:rPr>
        <w:t>ématique ou scientifique étroite. Non : ce que soulignent Sluijs et Smelik, c’est la dimension formelle de l’intermédialité, son aspect systémique (le Larousse donne comme deuxième définition de « </w:t>
      </w:r>
      <w:r w:rsidRPr="00937052">
        <w:rPr>
          <w:rFonts w:ascii="Times New Roman" w:hAnsi="Times New Roman"/>
          <w:lang w:val="fr-CA"/>
        </w:rPr>
        <w:t>th</w:t>
      </w:r>
      <w:r w:rsidRPr="00937052">
        <w:rPr>
          <w:rFonts w:ascii="Times New Roman" w:hAnsi="Times New Roman"/>
        </w:rPr>
        <w:t>éorème » : « expression d’un système formel démontrable à l’intérieur de ce système »). Or, comme les auteurs le laissent entendre, leur article vise également à ouvrir la voie à d’autres théorisations, d’autres « directions », qui iraient dans le même sens : « </w:t>
      </w:r>
      <w:r w:rsidRPr="00937052">
        <w:rPr>
          <w:rFonts w:ascii="Times New Roman" w:hAnsi="Times New Roman"/>
          <w:lang w:val="fr-CA"/>
        </w:rPr>
        <w:t>circular, upward, downward, intensive, extensive, rhizomic</w:t>
      </w:r>
      <w:r w:rsidRPr="00937052">
        <w:rPr>
          <w:rFonts w:ascii="Times New Roman" w:hAnsi="Times New Roman"/>
        </w:rPr>
        <w:t> » (p.196). Ce qui se joue donc ici, au travers des concepts idiosyncratiques de « intro- » et « </w:t>
      </w:r>
      <w:r w:rsidRPr="00937052">
        <w:rPr>
          <w:rFonts w:ascii="Times New Roman" w:hAnsi="Times New Roman"/>
          <w:lang w:val="it-IT"/>
        </w:rPr>
        <w:t>extraverted</w:t>
      </w:r>
      <w:r w:rsidRPr="00937052">
        <w:rPr>
          <w:rFonts w:ascii="Times New Roman" w:hAnsi="Times New Roman"/>
        </w:rPr>
        <w:t> </w:t>
      </w:r>
      <w:r w:rsidRPr="00937052">
        <w:rPr>
          <w:rFonts w:ascii="Times New Roman" w:hAnsi="Times New Roman"/>
          <w:lang w:val="fr-CA"/>
        </w:rPr>
        <w:t>intermediality</w:t>
      </w:r>
      <w:r w:rsidRPr="00937052">
        <w:rPr>
          <w:rFonts w:ascii="Times New Roman" w:hAnsi="Times New Roman"/>
        </w:rPr>
        <w:t> », c’est en fait une tentative de spatialiser l’intermédialité</w:t>
      </w:r>
      <w:r w:rsidRPr="00937052">
        <w:rPr>
          <w:rFonts w:ascii="Times New Roman" w:hAnsi="Times New Roman"/>
          <w:lang w:val="ru-RU"/>
        </w:rPr>
        <w:t xml:space="preserve">.  </w:t>
      </w:r>
    </w:p>
    <w:p w14:paraId="7F236528" w14:textId="77777777" w:rsidR="00220B0E" w:rsidRPr="00937052" w:rsidRDefault="00220B0E">
      <w:pPr>
        <w:pStyle w:val="CorpsA"/>
        <w:spacing w:line="360" w:lineRule="auto"/>
        <w:ind w:left="708"/>
        <w:jc w:val="both"/>
        <w:rPr>
          <w:rFonts w:ascii="Times New Roman" w:eastAsia="Times New Roman" w:hAnsi="Times New Roman" w:cs="Times New Roman"/>
        </w:rPr>
      </w:pPr>
    </w:p>
    <w:p w14:paraId="0BEC9DE7" w14:textId="77777777" w:rsidR="00220B0E" w:rsidRPr="00937052" w:rsidRDefault="007B3C01">
      <w:pPr>
        <w:pStyle w:val="CorpsA"/>
        <w:spacing w:line="360" w:lineRule="auto"/>
        <w:jc w:val="both"/>
      </w:pPr>
      <w:r w:rsidRPr="00937052">
        <w:rPr>
          <w:rFonts w:ascii="Times New Roman" w:eastAsia="Times New Roman" w:hAnsi="Times New Roman" w:cs="Times New Roman"/>
        </w:rPr>
        <w:lastRenderedPageBreak/>
        <w:tab/>
      </w:r>
    </w:p>
    <w:sectPr w:rsidR="00220B0E" w:rsidRPr="00937052">
      <w:headerReference w:type="default" r:id="rId12"/>
      <w:footerReference w:type="default" r:id="rId13"/>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FBA7" w14:textId="77777777" w:rsidR="00413689" w:rsidRDefault="00413689">
      <w:r>
        <w:separator/>
      </w:r>
    </w:p>
  </w:endnote>
  <w:endnote w:type="continuationSeparator" w:id="0">
    <w:p w14:paraId="57ACAD7B" w14:textId="77777777" w:rsidR="00413689" w:rsidRDefault="0041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6319" w14:textId="32C055E2" w:rsidR="00220B0E" w:rsidRDefault="007B3C01">
    <w:pPr>
      <w:pStyle w:val="Footer"/>
      <w:tabs>
        <w:tab w:val="clear" w:pos="9360"/>
        <w:tab w:val="right" w:pos="8620"/>
      </w:tabs>
      <w:jc w:val="right"/>
    </w:pPr>
    <w:r>
      <w:fldChar w:fldCharType="begin"/>
    </w:r>
    <w:r>
      <w:instrText xml:space="preserve"> PAGE </w:instrText>
    </w:r>
    <w:r>
      <w:fldChar w:fldCharType="separate"/>
    </w:r>
    <w:r w:rsidR="00937052">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E668" w14:textId="77777777" w:rsidR="00413689" w:rsidRDefault="00413689">
      <w:r>
        <w:separator/>
      </w:r>
    </w:p>
  </w:footnote>
  <w:footnote w:type="continuationSeparator" w:id="0">
    <w:p w14:paraId="76C7A45D" w14:textId="77777777" w:rsidR="00413689" w:rsidRDefault="0041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D0A4" w14:textId="77777777" w:rsidR="00220B0E" w:rsidRDefault="00220B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10A4"/>
    <w:multiLevelType w:val="hybridMultilevel"/>
    <w:tmpl w:val="2012CB1E"/>
    <w:styleLink w:val="Style1import"/>
    <w:lvl w:ilvl="0" w:tplc="BD6ECB9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2EE1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04349A">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2EEB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D4AA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C8A0D8">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E865A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3276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449284">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1E163A"/>
    <w:multiLevelType w:val="hybridMultilevel"/>
    <w:tmpl w:val="2012CB1E"/>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0E"/>
    <w:rsid w:val="00025877"/>
    <w:rsid w:val="00103AED"/>
    <w:rsid w:val="001B78BF"/>
    <w:rsid w:val="001D1253"/>
    <w:rsid w:val="00220B0E"/>
    <w:rsid w:val="00337E21"/>
    <w:rsid w:val="00413689"/>
    <w:rsid w:val="007B3C01"/>
    <w:rsid w:val="007C44F8"/>
    <w:rsid w:val="00937052"/>
    <w:rsid w:val="00AF79FC"/>
    <w:rsid w:val="00D0414D"/>
    <w:rsid w:val="00D84632"/>
    <w:rsid w:val="00E877A3"/>
    <w:rsid w:val="00F16DC1"/>
    <w:rsid w:val="00F8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3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lang w:val="fr-FR"/>
    </w:rPr>
  </w:style>
  <w:style w:type="paragraph" w:customStyle="1" w:styleId="CorpsA">
    <w:name w:val="Corps A"/>
    <w:rPr>
      <w:rFonts w:ascii="Calibri" w:eastAsia="Calibri" w:hAnsi="Calibri" w:cs="Calibri"/>
      <w:color w:val="000000"/>
      <w:sz w:val="24"/>
      <w:szCs w:val="24"/>
      <w:u w:color="000000"/>
      <w:lang w:val="fr-FR"/>
    </w:rPr>
  </w:style>
  <w:style w:type="paragraph" w:styleId="ListParagraph">
    <w:name w:val="List Paragraph"/>
    <w:pPr>
      <w:ind w:left="720"/>
    </w:pPr>
    <w:rPr>
      <w:rFonts w:ascii="Calibri" w:eastAsia="Calibri" w:hAnsi="Calibri" w:cs="Calibri"/>
      <w:color w:val="000000"/>
      <w:sz w:val="24"/>
      <w:szCs w:val="24"/>
      <w:u w:color="000000"/>
      <w:lang w:val="fr-FR"/>
    </w:rPr>
  </w:style>
  <w:style w:type="numbering" w:customStyle="1" w:styleId="Style1import">
    <w:name w:val="Style 1 importé"/>
    <w:pPr>
      <w:numPr>
        <w:numId w:val="1"/>
      </w:numPr>
    </w:pPr>
  </w:style>
  <w:style w:type="paragraph" w:customStyle="1" w:styleId="Pardfaut">
    <w:name w:val="Par défau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5877"/>
    <w:rPr>
      <w:sz w:val="18"/>
      <w:szCs w:val="18"/>
    </w:rPr>
  </w:style>
  <w:style w:type="character" w:customStyle="1" w:styleId="BalloonTextChar">
    <w:name w:val="Balloon Text Char"/>
    <w:basedOn w:val="DefaultParagraphFont"/>
    <w:link w:val="BalloonText"/>
    <w:uiPriority w:val="99"/>
    <w:semiHidden/>
    <w:rsid w:val="00025877"/>
    <w:rPr>
      <w:sz w:val="18"/>
      <w:szCs w:val="18"/>
    </w:rPr>
  </w:style>
  <w:style w:type="paragraph" w:styleId="NormalWeb">
    <w:name w:val="Normal (Web)"/>
    <w:basedOn w:val="Normal"/>
    <w:uiPriority w:val="99"/>
    <w:semiHidden/>
    <w:unhideWhenUsed/>
    <w:rsid w:val="00AF79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on.froger@umontreal.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rmediali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erudit.org/" TargetMode="External"/><Relationship Id="rId4" Type="http://schemas.openxmlformats.org/officeDocument/2006/relationships/settings" Target="settings.xml"/><Relationship Id="rId9" Type="http://schemas.openxmlformats.org/officeDocument/2006/relationships/hyperlink" Target="mailto:Caroline.bem@umontreal.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F9DA-2080-4ECF-942D-11A1A9A3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6512</Words>
  <Characters>32302</Characters>
  <Application>Microsoft Office Word</Application>
  <DocSecurity>0</DocSecurity>
  <Lines>828</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M</dc:creator>
  <cp:lastModifiedBy>Sonya M</cp:lastModifiedBy>
  <cp:revision>2</cp:revision>
  <dcterms:created xsi:type="dcterms:W3CDTF">2017-05-12T17:00:00Z</dcterms:created>
  <dcterms:modified xsi:type="dcterms:W3CDTF">2017-05-12T17:00:00Z</dcterms:modified>
</cp:coreProperties>
</file>